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3DAC" w:rsidRDefault="001D3DAC" w:rsidP="001D3DAC">
      <w:pPr>
        <w:spacing w:after="0" w:line="240" w:lineRule="auto"/>
        <w:jc w:val="both"/>
        <w:rPr>
          <w:rFonts w:ascii="Times New Roman" w:hAnsi="Times New Roman" w:cs="Times New Roman"/>
          <w:b/>
          <w:sz w:val="24"/>
          <w:szCs w:val="24"/>
        </w:rPr>
      </w:pPr>
      <w:proofErr w:type="spellStart"/>
      <w:r w:rsidRPr="00910541">
        <w:rPr>
          <w:rFonts w:ascii="Times New Roman" w:hAnsi="Times New Roman" w:cs="Times New Roman"/>
          <w:b/>
          <w:sz w:val="24"/>
          <w:szCs w:val="24"/>
        </w:rPr>
        <w:t>Cass</w:t>
      </w:r>
      <w:proofErr w:type="spellEnd"/>
      <w:r w:rsidRPr="00910541">
        <w:rPr>
          <w:rFonts w:ascii="Times New Roman" w:hAnsi="Times New Roman" w:cs="Times New Roman"/>
          <w:b/>
          <w:sz w:val="24"/>
          <w:szCs w:val="24"/>
        </w:rPr>
        <w:t xml:space="preserve">. Pen., III, </w:t>
      </w:r>
      <w:r w:rsidRPr="00A61356">
        <w:rPr>
          <w:rFonts w:ascii="Times New Roman" w:hAnsi="Times New Roman" w:cs="Times New Roman"/>
          <w:b/>
          <w:sz w:val="24"/>
          <w:szCs w:val="24"/>
        </w:rPr>
        <w:t xml:space="preserve">n. 5045 del </w:t>
      </w:r>
      <w:r>
        <w:rPr>
          <w:rFonts w:ascii="Times New Roman" w:hAnsi="Times New Roman" w:cs="Times New Roman"/>
          <w:b/>
          <w:sz w:val="24"/>
          <w:szCs w:val="24"/>
        </w:rPr>
        <w:t>0</w:t>
      </w:r>
      <w:r w:rsidRPr="00A61356">
        <w:rPr>
          <w:rFonts w:ascii="Times New Roman" w:hAnsi="Times New Roman" w:cs="Times New Roman"/>
          <w:b/>
          <w:sz w:val="24"/>
          <w:szCs w:val="24"/>
        </w:rPr>
        <w:t>9</w:t>
      </w:r>
      <w:r>
        <w:rPr>
          <w:rFonts w:ascii="Times New Roman" w:hAnsi="Times New Roman" w:cs="Times New Roman"/>
          <w:b/>
          <w:sz w:val="24"/>
          <w:szCs w:val="24"/>
        </w:rPr>
        <w:t>/02/</w:t>
      </w:r>
      <w:r w:rsidRPr="00A61356">
        <w:rPr>
          <w:rFonts w:ascii="Times New Roman" w:hAnsi="Times New Roman" w:cs="Times New Roman"/>
          <w:b/>
          <w:sz w:val="24"/>
          <w:szCs w:val="24"/>
        </w:rPr>
        <w:t>2012</w:t>
      </w:r>
      <w:r>
        <w:rPr>
          <w:rFonts w:ascii="Times New Roman" w:hAnsi="Times New Roman" w:cs="Times New Roman"/>
          <w:b/>
          <w:sz w:val="24"/>
          <w:szCs w:val="24"/>
        </w:rPr>
        <w:t xml:space="preserve">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Teresi</w:t>
      </w:r>
      <w:proofErr w:type="spellEnd"/>
      <w:r>
        <w:rPr>
          <w:rFonts w:ascii="Times New Roman" w:hAnsi="Times New Roman" w:cs="Times New Roman"/>
          <w:b/>
          <w:sz w:val="24"/>
          <w:szCs w:val="24"/>
        </w:rPr>
        <w:t xml:space="preserve"> – </w:t>
      </w:r>
      <w:proofErr w:type="spellStart"/>
      <w:r>
        <w:rPr>
          <w:rFonts w:ascii="Times New Roman" w:hAnsi="Times New Roman" w:cs="Times New Roman"/>
          <w:b/>
          <w:sz w:val="24"/>
          <w:szCs w:val="24"/>
        </w:rPr>
        <w:t>Rel</w:t>
      </w:r>
      <w:proofErr w:type="spellEnd"/>
      <w:r>
        <w:rPr>
          <w:rFonts w:ascii="Times New Roman" w:hAnsi="Times New Roman" w:cs="Times New Roman"/>
          <w:b/>
          <w:sz w:val="24"/>
          <w:szCs w:val="24"/>
        </w:rPr>
        <w:t>. Lombardi – Ric. Lugli e a.</w:t>
      </w:r>
    </w:p>
    <w:p w:rsidR="001D3DAC" w:rsidRDefault="001D3DAC" w:rsidP="001D3DAC">
      <w:pPr>
        <w:spacing w:after="0" w:line="240" w:lineRule="auto"/>
        <w:jc w:val="both"/>
        <w:rPr>
          <w:rFonts w:ascii="Times New Roman" w:hAnsi="Times New Roman" w:cs="Times New Roman"/>
          <w:sz w:val="24"/>
          <w:szCs w:val="24"/>
        </w:rPr>
      </w:pPr>
    </w:p>
    <w:p w:rsidR="001D3DAC" w:rsidRDefault="001D3DAC" w:rsidP="001D3DAC">
      <w:pPr>
        <w:spacing w:after="0" w:line="240" w:lineRule="auto"/>
        <w:jc w:val="both"/>
        <w:rPr>
          <w:rFonts w:ascii="Times New Roman" w:hAnsi="Times New Roman" w:cs="Times New Roman"/>
          <w:sz w:val="24"/>
          <w:szCs w:val="24"/>
        </w:rPr>
      </w:pPr>
      <w:r w:rsidRPr="000A25C4">
        <w:rPr>
          <w:rFonts w:ascii="Times New Roman" w:hAnsi="Times New Roman" w:cs="Times New Roman"/>
          <w:b/>
          <w:sz w:val="24"/>
          <w:szCs w:val="24"/>
        </w:rPr>
        <w:t>Rifiuti</w:t>
      </w:r>
      <w:r>
        <w:rPr>
          <w:rFonts w:ascii="Times New Roman" w:hAnsi="Times New Roman" w:cs="Times New Roman"/>
          <w:sz w:val="24"/>
          <w:szCs w:val="24"/>
        </w:rPr>
        <w:t xml:space="preserve"> – Compost – Presenza di sostanze pericolose – Normativa in materia di fertilizzanti - Inapplicabilità</w:t>
      </w:r>
    </w:p>
    <w:p w:rsidR="001D3DAC" w:rsidRPr="00467C03" w:rsidRDefault="001D3DAC" w:rsidP="001D3DAC">
      <w:pPr>
        <w:spacing w:after="0" w:line="240" w:lineRule="auto"/>
        <w:jc w:val="both"/>
        <w:rPr>
          <w:rFonts w:ascii="Times New Roman" w:hAnsi="Times New Roman" w:cs="Times New Roman"/>
          <w:i/>
          <w:sz w:val="24"/>
          <w:szCs w:val="24"/>
        </w:rPr>
      </w:pPr>
      <w:r w:rsidRPr="00467C03">
        <w:rPr>
          <w:rFonts w:ascii="Times New Roman" w:hAnsi="Times New Roman" w:cs="Times New Roman"/>
          <w:i/>
          <w:sz w:val="24"/>
          <w:szCs w:val="24"/>
        </w:rPr>
        <w:t xml:space="preserve">Qualora nel compost siano presenti sostanze pericolose, si configura il reato di smaltimento di rifiuti pericolosi e non pericolosi in difetto dell’autorizzazione prevista dall’art. 208 del </w:t>
      </w:r>
      <w:proofErr w:type="spellStart"/>
      <w:r w:rsidRPr="00467C03">
        <w:rPr>
          <w:rFonts w:ascii="Times New Roman" w:hAnsi="Times New Roman" w:cs="Times New Roman"/>
          <w:i/>
          <w:sz w:val="24"/>
          <w:szCs w:val="24"/>
        </w:rPr>
        <w:t>D.Lgs.</w:t>
      </w:r>
      <w:proofErr w:type="spellEnd"/>
      <w:r w:rsidRPr="00467C03">
        <w:rPr>
          <w:rFonts w:ascii="Times New Roman" w:hAnsi="Times New Roman" w:cs="Times New Roman"/>
          <w:i/>
          <w:sz w:val="24"/>
          <w:szCs w:val="24"/>
        </w:rPr>
        <w:t xml:space="preserve"> n. 152/2006, in quanto è applicabile in tal caso la disciplina in materia di recupero dei rifiuti prevista dagli artt. 181 e ss. del citato decreto e non quella in materia di fertilizzanti, prevista dal </w:t>
      </w:r>
      <w:proofErr w:type="spellStart"/>
      <w:r w:rsidRPr="00467C03">
        <w:rPr>
          <w:rFonts w:ascii="Times New Roman" w:hAnsi="Times New Roman" w:cs="Times New Roman"/>
          <w:i/>
          <w:sz w:val="24"/>
          <w:szCs w:val="24"/>
        </w:rPr>
        <w:t>D.Lgs.</w:t>
      </w:r>
      <w:proofErr w:type="spellEnd"/>
      <w:r w:rsidRPr="00467C03">
        <w:rPr>
          <w:rFonts w:ascii="Times New Roman" w:hAnsi="Times New Roman" w:cs="Times New Roman"/>
          <w:i/>
          <w:sz w:val="24"/>
          <w:szCs w:val="24"/>
        </w:rPr>
        <w:t xml:space="preserve"> n. 217/2006.</w:t>
      </w:r>
    </w:p>
    <w:p w:rsidR="00910541" w:rsidRDefault="00910541" w:rsidP="00B3434E">
      <w:pPr>
        <w:spacing w:after="0" w:line="240" w:lineRule="auto"/>
        <w:jc w:val="both"/>
        <w:rPr>
          <w:rFonts w:ascii="Times New Roman" w:hAnsi="Times New Roman" w:cs="Times New Roman"/>
          <w:sz w:val="24"/>
          <w:szCs w:val="24"/>
        </w:rPr>
      </w:pPr>
      <w:bookmarkStart w:id="0" w:name="_GoBack"/>
      <w:bookmarkEnd w:id="0"/>
    </w:p>
    <w:p w:rsidR="00910541" w:rsidRDefault="00910541" w:rsidP="00B3434E">
      <w:pPr>
        <w:spacing w:after="0" w:line="240" w:lineRule="auto"/>
        <w:jc w:val="both"/>
        <w:rPr>
          <w:rFonts w:ascii="Times New Roman" w:hAnsi="Times New Roman" w:cs="Times New Roman"/>
          <w:sz w:val="24"/>
          <w:szCs w:val="24"/>
        </w:rPr>
      </w:pP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Motivi della decisione</w:t>
      </w: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Con un unico, articolato, mezzo di annullamento i ricorrenti denunciano la violazione ed errata applicazione dell’art. 530 c.p.p.</w:t>
      </w: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In primo luogo si censura l’affermazione di colpevolezza, deducendosi che nessun obbligo è posto a carico dell’autista, che effettua il trasporto dell’ammendante, o dell’acquirente di detto materiale di effettuare analisi per verificarne la rispondenza alle prescrizioni di legge.</w:t>
      </w: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Si contesta, poi, la configurabilità del reato di gestione di rifiuti non autorizzata con riferimento alla non rispondenza ai requisiti di legge dell’ammendante.</w:t>
      </w: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Si deduce che la produzione di fertilizzanti ed in particolare dell’ammendante compostato misto è disciplinata dalla legge 19 ottobre 1984 n. 748, ai sensi del cui art. 12 l’ipotesi di vendita di fertilizzanti non conformi alle norme della presente legge e dei suoi allegati è punita con sanzione amministrativa variamente modulata. Nel caso di irregolare composizione dell’ammendante, pertanto, si versa in una fattispecie di violazione amministrativa e non nell’ipotesi contravvenzionale del trasporto e deposito illecito di rifiuti di cui all’art. 256 del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n. 152/2006.</w:t>
      </w:r>
    </w:p>
    <w:p w:rsidR="00A61356" w:rsidRDefault="00A61356"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Il ricorso non è fondato.</w:t>
      </w:r>
    </w:p>
    <w:p w:rsidR="006D64FC" w:rsidRDefault="006D64FC"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L’art. 17 del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29 aprile 2006 n. 217 ha abrogato la legge 19 ottobre 1984 n. 748.</w:t>
      </w:r>
    </w:p>
    <w:p w:rsidR="006D64FC" w:rsidRDefault="003E2817"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L’art. 12 del predetto decreto legislativo, nel comminare sanzioni amministrative per la produzione e l’immissione sul mercato di fertilizzanti non compresi o non conformi al Regolamento CE 2003/2003, fa salva l’ipotesi che il fatto costituisca reato.</w:t>
      </w:r>
    </w:p>
    <w:p w:rsidR="003E2817" w:rsidRDefault="003E2817"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Sicché è fatta salva l’applicazione delle sanzioni penali previste per la violazione della normativa in materia di rifiuti nel caso in cui il fertilizzante, per le sue caratteristiche, debba essere qualificato rifiuto.</w:t>
      </w:r>
    </w:p>
    <w:p w:rsidR="003E2817" w:rsidRDefault="003E2817"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In applicazione delle citate disposizioni è stato già affermato da questa Corte che ove siano presenti nel compost sostanze pericolose non previste nemmeno nell’elencazione delle delibere regionali in materia, si configura il reato di smaltimento di rifiuti pericolosi e non pericolosi in difetto dell’autorizzazione prevista dall’art. 208 del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xml:space="preserve">. 3 aprile 2006, n. 152, in quanto è applicabile in tal caso la disciplina in materia di recupero dei rifiuti prevista dagli artt. 181 e ss. </w:t>
      </w:r>
      <w:r w:rsidR="00467C03">
        <w:rPr>
          <w:rFonts w:ascii="Times New Roman" w:hAnsi="Times New Roman" w:cs="Times New Roman"/>
          <w:sz w:val="24"/>
          <w:szCs w:val="24"/>
        </w:rPr>
        <w:t>d</w:t>
      </w:r>
      <w:r>
        <w:rPr>
          <w:rFonts w:ascii="Times New Roman" w:hAnsi="Times New Roman" w:cs="Times New Roman"/>
          <w:sz w:val="24"/>
          <w:szCs w:val="24"/>
        </w:rPr>
        <w:t xml:space="preserve">el citato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xml:space="preserve">. e non quella in materia di fertilizzanti, prevista dal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xml:space="preserve">. 29 aprile 2006, n. 217. (sez. III, 28.01.2009 n. 10709, </w:t>
      </w:r>
      <w:proofErr w:type="spellStart"/>
      <w:r>
        <w:rPr>
          <w:rFonts w:ascii="Times New Roman" w:hAnsi="Times New Roman" w:cs="Times New Roman"/>
          <w:sz w:val="24"/>
          <w:szCs w:val="24"/>
        </w:rPr>
        <w:t>Tenzon</w:t>
      </w:r>
      <w:proofErr w:type="spellEnd"/>
      <w:r>
        <w:rPr>
          <w:rFonts w:ascii="Times New Roman" w:hAnsi="Times New Roman" w:cs="Times New Roman"/>
          <w:sz w:val="24"/>
          <w:szCs w:val="24"/>
        </w:rPr>
        <w:t>, RV 243105)</w:t>
      </w:r>
    </w:p>
    <w:p w:rsidR="006075ED" w:rsidRDefault="006075ED"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Orbene, nel caso in esame, il cosiddetto ammendante derivante dal trattamento dei rifiuti, secondo quanto accertato dal giudice di merito, non era conforme ai parametri previsti dall’allegato 2 del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xml:space="preserve">. n. 217 del 2006, per carenze nel trattamento o per non rispondenza della composizione dei rifiuti alle prescrizioni in materia, sicché lo stesso non ha perso la sua natura originaria e, peraltro, è classificato come rifiuto nell’allegato D al D. </w:t>
      </w:r>
      <w:proofErr w:type="spellStart"/>
      <w:r>
        <w:rPr>
          <w:rFonts w:ascii="Times New Roman" w:hAnsi="Times New Roman" w:cs="Times New Roman"/>
          <w:sz w:val="24"/>
          <w:szCs w:val="24"/>
        </w:rPr>
        <w:t>Lgs</w:t>
      </w:r>
      <w:proofErr w:type="spellEnd"/>
      <w:r>
        <w:rPr>
          <w:rFonts w:ascii="Times New Roman" w:hAnsi="Times New Roman" w:cs="Times New Roman"/>
          <w:sz w:val="24"/>
          <w:szCs w:val="24"/>
        </w:rPr>
        <w:t>. n. 152/2006: codice CER 190503 compost fuori specifica.</w:t>
      </w:r>
    </w:p>
    <w:p w:rsidR="006075ED" w:rsidRDefault="006075ED"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Nel resto le deduzioni dei ricorrenti sono di natura esclusivamente fattuale e, perciò, inammissibili in sede di legittimità.</w:t>
      </w:r>
    </w:p>
    <w:p w:rsidR="006075ED" w:rsidRDefault="006075ED"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La sentenza ha puntualmente evidenziato che la natura di rifiuto del cosiddetto ammendante era rilevabile </w:t>
      </w:r>
      <w:proofErr w:type="spellStart"/>
      <w:r>
        <w:rPr>
          <w:rFonts w:ascii="Times New Roman" w:hAnsi="Times New Roman" w:cs="Times New Roman"/>
          <w:sz w:val="24"/>
          <w:szCs w:val="24"/>
        </w:rPr>
        <w:t>ictu</w:t>
      </w:r>
      <w:proofErr w:type="spellEnd"/>
      <w:r>
        <w:rPr>
          <w:rFonts w:ascii="Times New Roman" w:hAnsi="Times New Roman" w:cs="Times New Roman"/>
          <w:sz w:val="24"/>
          <w:szCs w:val="24"/>
        </w:rPr>
        <w:t xml:space="preserve"> oculi per la presenza dei materiali indicati in narrativa, sicché gli imputati erano ben consapevoli del fatto che non si trattava di ammendante, bensì di rifiuti, e, peraltro, incombeva sui medesimi l’obbligo </w:t>
      </w:r>
      <w:r w:rsidR="00467C03">
        <w:rPr>
          <w:rFonts w:ascii="Times New Roman" w:hAnsi="Times New Roman" w:cs="Times New Roman"/>
          <w:sz w:val="24"/>
          <w:szCs w:val="24"/>
        </w:rPr>
        <w:t xml:space="preserve">di </w:t>
      </w:r>
      <w:r>
        <w:rPr>
          <w:rFonts w:ascii="Times New Roman" w:hAnsi="Times New Roman" w:cs="Times New Roman"/>
          <w:sz w:val="24"/>
          <w:szCs w:val="24"/>
        </w:rPr>
        <w:t>accertare la natura di detto materiale, risultando evidente la sua composizione anomala.</w:t>
      </w:r>
    </w:p>
    <w:p w:rsidR="003E2817" w:rsidRDefault="006075ED" w:rsidP="00B343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Il ricorso, pertanto, deve essere rigettato con le conseguenze di legge. </w:t>
      </w:r>
    </w:p>
    <w:p w:rsidR="003E2817" w:rsidRDefault="003E2817" w:rsidP="00B3434E">
      <w:pPr>
        <w:spacing w:after="0" w:line="240" w:lineRule="auto"/>
        <w:jc w:val="both"/>
        <w:rPr>
          <w:rFonts w:ascii="Times New Roman" w:hAnsi="Times New Roman" w:cs="Times New Roman"/>
          <w:sz w:val="24"/>
          <w:szCs w:val="24"/>
        </w:rPr>
      </w:pPr>
    </w:p>
    <w:sectPr w:rsidR="003E281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altName w:val="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1356"/>
    <w:rsid w:val="000A25C4"/>
    <w:rsid w:val="001D3DAC"/>
    <w:rsid w:val="00235229"/>
    <w:rsid w:val="003E2817"/>
    <w:rsid w:val="00467C03"/>
    <w:rsid w:val="005113ED"/>
    <w:rsid w:val="006075ED"/>
    <w:rsid w:val="006352DC"/>
    <w:rsid w:val="006D64FC"/>
    <w:rsid w:val="00910541"/>
    <w:rsid w:val="00992111"/>
    <w:rsid w:val="00A610E1"/>
    <w:rsid w:val="00A61356"/>
    <w:rsid w:val="00B3434E"/>
    <w:rsid w:val="00B94784"/>
    <w:rsid w:val="00C92922"/>
    <w:rsid w:val="00D53378"/>
    <w:rsid w:val="00EE300B"/>
    <w:rsid w:val="00F577B2"/>
    <w:rsid w:val="00FE696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2</Pages>
  <Words>622</Words>
  <Characters>3547</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ADigirolamo</cp:lastModifiedBy>
  <cp:revision>20</cp:revision>
  <dcterms:created xsi:type="dcterms:W3CDTF">2012-03-07T16:27:00Z</dcterms:created>
  <dcterms:modified xsi:type="dcterms:W3CDTF">2012-03-20T15:25:00Z</dcterms:modified>
</cp:coreProperties>
</file>