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Cass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Pen., Sez. III, n. 50309 del 02/12</w:t>
      </w:r>
      <w:r w:rsidRPr="00E03F37">
        <w:rPr>
          <w:rFonts w:ascii="Times New Roman" w:hAnsi="Times New Roman" w:cs="Times New Roman"/>
          <w:b/>
          <w:sz w:val="24"/>
          <w:szCs w:val="24"/>
        </w:rPr>
        <w:t xml:space="preserve">/2014 – </w:t>
      </w:r>
      <w:proofErr w:type="spellStart"/>
      <w:r w:rsidRPr="00E03F37">
        <w:rPr>
          <w:rFonts w:ascii="Times New Roman" w:hAnsi="Times New Roman" w:cs="Times New Roman"/>
          <w:b/>
          <w:sz w:val="24"/>
          <w:szCs w:val="24"/>
        </w:rPr>
        <w:t>P</w:t>
      </w:r>
      <w:r>
        <w:rPr>
          <w:rFonts w:ascii="Times New Roman" w:hAnsi="Times New Roman" w:cs="Times New Roman"/>
          <w:b/>
          <w:sz w:val="24"/>
          <w:szCs w:val="24"/>
        </w:rPr>
        <w:t>res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Squassoni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– Est. Aceto– Ric. M. R.</w:t>
      </w:r>
    </w:p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3F37">
        <w:rPr>
          <w:rFonts w:ascii="Times New Roman" w:hAnsi="Times New Roman" w:cs="Times New Roman"/>
          <w:b/>
          <w:sz w:val="24"/>
          <w:szCs w:val="24"/>
        </w:rPr>
        <w:t>RIFIUTI</w:t>
      </w:r>
      <w:r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Pr="00E03F37">
        <w:rPr>
          <w:rFonts w:ascii="Times New Roman" w:hAnsi="Times New Roman" w:cs="Times New Roman"/>
          <w:sz w:val="24"/>
          <w:szCs w:val="24"/>
        </w:rPr>
        <w:t xml:space="preserve">Cosa si intende per </w:t>
      </w:r>
      <w:r w:rsidR="00576B25">
        <w:rPr>
          <w:rFonts w:ascii="Times New Roman" w:hAnsi="Times New Roman" w:cs="Times New Roman"/>
          <w:sz w:val="24"/>
          <w:szCs w:val="24"/>
        </w:rPr>
        <w:t>“</w:t>
      </w:r>
      <w:r w:rsidRPr="00E03F37">
        <w:rPr>
          <w:rFonts w:ascii="Times New Roman" w:hAnsi="Times New Roman" w:cs="Times New Roman"/>
          <w:sz w:val="24"/>
          <w:szCs w:val="24"/>
        </w:rPr>
        <w:t>sottoprodotto</w:t>
      </w:r>
      <w:r w:rsidR="00576B25">
        <w:rPr>
          <w:rFonts w:ascii="Times New Roman" w:hAnsi="Times New Roman" w:cs="Times New Roman"/>
          <w:sz w:val="24"/>
          <w:szCs w:val="24"/>
        </w:rPr>
        <w:t>”</w:t>
      </w:r>
      <w:r w:rsidRPr="00E03F37">
        <w:rPr>
          <w:rFonts w:ascii="Times New Roman" w:hAnsi="Times New Roman" w:cs="Times New Roman"/>
          <w:sz w:val="24"/>
          <w:szCs w:val="24"/>
        </w:rPr>
        <w:t>?</w:t>
      </w:r>
    </w:p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3F37">
        <w:rPr>
          <w:rFonts w:ascii="Times New Roman" w:hAnsi="Times New Roman" w:cs="Times New Roman"/>
          <w:i/>
          <w:sz w:val="24"/>
          <w:szCs w:val="24"/>
        </w:rPr>
        <w:t>Per sottoprodotto si intendono quelle sostanze, quegli oggetti dei quali dei quali sin dall’inizio fosse certa, e non eventuale, la destinazione al riutilizzo nel medesimo ciclo produttivo o alla loro utilizzazione da parte di terzi; ed è questa certezza oggettiva del riutilizzo che esclude a monte l’intenzione di disfarsi dell’oggetto o della sostanza e che concorre, insieme con le altre condizioni di cui all’art. 184-bis T.U.A., a escluderlo dall’ambito di applicabilità della normativa sui rifiuti.</w:t>
      </w:r>
    </w:p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03F37">
        <w:rPr>
          <w:rFonts w:ascii="Times New Roman" w:hAnsi="Times New Roman" w:cs="Times New Roman"/>
          <w:b/>
          <w:sz w:val="24"/>
          <w:szCs w:val="24"/>
        </w:rPr>
        <w:t>Ritenuto in fatto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Il sig. M. R.</w:t>
      </w:r>
      <w:r w:rsidRPr="00E03F37">
        <w:rPr>
          <w:rFonts w:ascii="Times New Roman" w:hAnsi="Times New Roman" w:cs="Times New Roman"/>
          <w:sz w:val="24"/>
          <w:szCs w:val="24"/>
        </w:rPr>
        <w:t xml:space="preserve"> ricorre, per il tramite del difensore di fiducia, per la cassazione della sentenza del 26/03/2014 con la quale il Tribunale di Bergamo l'ha condannato alla pena, condizionalmente sospesa, di € 8.000,00 di ammenda per il reato di cui all'art. 256, comma l,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a), d.lgs. 3 aprile 2006, n. 152, commesso in Pedrengo dal 31/01/2012 al 08/10/2012.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Si contesta all'imputato di aver, nella sua qualità di amministratore unico dell</w:t>
      </w:r>
      <w:r w:rsidR="00D76595">
        <w:rPr>
          <w:rFonts w:ascii="Times New Roman" w:hAnsi="Times New Roman" w:cs="Times New Roman"/>
          <w:sz w:val="24"/>
          <w:szCs w:val="24"/>
        </w:rPr>
        <w:t xml:space="preserve">a «E. S. S.r.l.» </w:t>
      </w:r>
      <w:r w:rsidRPr="00E03F37">
        <w:rPr>
          <w:rFonts w:ascii="Times New Roman" w:hAnsi="Times New Roman" w:cs="Times New Roman"/>
          <w:sz w:val="24"/>
          <w:szCs w:val="24"/>
        </w:rPr>
        <w:t>e senza alcuna autorizzazione, raccolto, trasportato e recuperato, sottoponendoli a cernita (al fine di distinguere quelli riutilizzabili da quelli rotti o da quelli che presentavano difetti, con successiva attività di riparazione),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 usati", in parte provenienti da imprese che li commercializzavano all'ingrosso, in parte acquistati da imprese operanti in altri settori produttivi che, per ragioni aziendali, avevano deciso di disfarsene; imballaggi che, secondo la rubrica e secondo la sentenza impugnata, non potevano essere qualificati come</w:t>
      </w:r>
      <w:r w:rsidR="00D76595">
        <w:rPr>
          <w:rFonts w:ascii="Times New Roman" w:hAnsi="Times New Roman" w:cs="Times New Roman"/>
          <w:sz w:val="24"/>
          <w:szCs w:val="24"/>
        </w:rPr>
        <w:t xml:space="preserve"> “imballaggi riutilizzabili”</w:t>
      </w:r>
      <w:r w:rsidRPr="00E03F37">
        <w:rPr>
          <w:rFonts w:ascii="Times New Roman" w:hAnsi="Times New Roman" w:cs="Times New Roman"/>
          <w:sz w:val="24"/>
          <w:szCs w:val="24"/>
        </w:rPr>
        <w:t xml:space="preserve"> ai sensi dell'art. 218, d.lgs. 152/2006, cit., e gestiti quali «sottoprodotti» di cui all'art. 184, d.lgs. 152/2006, cit., trattandosi, in realtà, di veri e propri rifiuti speciali non pericolosi.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Secondo la ricostruzione operata dal Tribunale di Bergamo, doveva ritenersi provato, in base alle fatture di acquisto relative al periodo gennaio/giugno 2012 acquisite dalla polizia provinciale in sede di ispezione, agli esiti dell'ispezione stessa e alle prove dichiar</w:t>
      </w:r>
      <w:r w:rsidR="00D76595">
        <w:rPr>
          <w:rFonts w:ascii="Times New Roman" w:hAnsi="Times New Roman" w:cs="Times New Roman"/>
          <w:sz w:val="24"/>
          <w:szCs w:val="24"/>
        </w:rPr>
        <w:t xml:space="preserve">ative, che la «E. S. </w:t>
      </w:r>
      <w:r w:rsidRPr="00E03F37">
        <w:rPr>
          <w:rFonts w:ascii="Times New Roman" w:hAnsi="Times New Roman" w:cs="Times New Roman"/>
          <w:sz w:val="24"/>
          <w:szCs w:val="24"/>
        </w:rPr>
        <w:t xml:space="preserve">S.r.l.» acquistasse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 difettati (descritti nelle fatture come "bancali rotti" o "pallet di scarto") dei quali le imprese intendevano disfarsi, che non erano riutilizzabili tal quali e che venivano riparati senza che la cessione fosse avvenuta in conto lavorazione, per essere successivame</w:t>
      </w:r>
      <w:r w:rsidR="00D76595">
        <w:rPr>
          <w:rFonts w:ascii="Times New Roman" w:hAnsi="Times New Roman" w:cs="Times New Roman"/>
          <w:sz w:val="24"/>
          <w:szCs w:val="24"/>
        </w:rPr>
        <w:t>nte venduti dalla stessa E</w:t>
      </w:r>
      <w:r w:rsidRPr="00E03F3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2.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Con il p</w:t>
      </w:r>
      <w:r w:rsidR="00D76595">
        <w:rPr>
          <w:rFonts w:ascii="Times New Roman" w:hAnsi="Times New Roman" w:cs="Times New Roman"/>
          <w:sz w:val="24"/>
          <w:szCs w:val="24"/>
        </w:rPr>
        <w:t>rimo motivo di ricorso, il R.</w:t>
      </w:r>
      <w:r w:rsidRPr="00E03F37">
        <w:rPr>
          <w:rFonts w:ascii="Times New Roman" w:hAnsi="Times New Roman" w:cs="Times New Roman"/>
          <w:sz w:val="24"/>
          <w:szCs w:val="24"/>
        </w:rPr>
        <w:t xml:space="preserve"> eccepisce, ai sensi dell'art. 606,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b), cod.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., inosservanza o erronea applicazione dell'art. 183, comma l,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a) ed r), d.lgs. 152/2006, cit..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Il giudice di prime cure non ha considerato che per rifiuto deve intendersi qualsiasi sostanza od oggetto del quale il produttore si disfi, intenda o abbia l'obbligo di disfarsi. Non può essere considerato rifiuto un bene comunque suscettibile di riutilizzo, secondo la funzione per il quale è stato concepito e prodotto, del quale il produttore non intende «disfarsi». Nel caso in cui un bene venga direttamente riutilizzato senza alcuna operazione che ne possa modificare le caratteristiche fisico-chimiche all'interno del medesimo ciclo produttivo o commerciale, non si può desumere la volontà del detentore di disfarsene.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Nel caso in esame non sussiste un solo elemento di prova dal quale poter desumere che sia il produttore che l'imputato avessero mai considerato 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 come rifiuti; nessuno di essi nutriva l'intenzione di disfarsene, tanto è vero che, come affermato dal legale rappresentante dell'impresa conferente (assolto dal medesimo reato) 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 non più utilizzabili venivano accatastati a parte in attesa di essere smaltiti, mentre quelli riutilizzabili erano stat</w:t>
      </w:r>
      <w:r w:rsidR="00D76595">
        <w:rPr>
          <w:rFonts w:ascii="Times New Roman" w:hAnsi="Times New Roman" w:cs="Times New Roman"/>
          <w:sz w:val="24"/>
          <w:szCs w:val="24"/>
        </w:rPr>
        <w:t xml:space="preserve">i venduti alla «E. S. </w:t>
      </w:r>
      <w:r w:rsidRPr="00E03F37">
        <w:rPr>
          <w:rFonts w:ascii="Times New Roman" w:hAnsi="Times New Roman" w:cs="Times New Roman"/>
          <w:sz w:val="24"/>
          <w:szCs w:val="24"/>
        </w:rPr>
        <w:t>S.r.l.» che si occupava della loro rivendita per il medesimo reimpiego salve, se necessario, minime rip</w:t>
      </w:r>
      <w:r w:rsidR="00D76595">
        <w:rPr>
          <w:rFonts w:ascii="Times New Roman" w:hAnsi="Times New Roman" w:cs="Times New Roman"/>
          <w:sz w:val="24"/>
          <w:szCs w:val="24"/>
        </w:rPr>
        <w:t xml:space="preserve">arazioni. Si tratta dunque, </w:t>
      </w:r>
      <w:r w:rsidRPr="00E03F37">
        <w:rPr>
          <w:rFonts w:ascii="Times New Roman" w:hAnsi="Times New Roman" w:cs="Times New Roman"/>
          <w:sz w:val="24"/>
          <w:szCs w:val="24"/>
        </w:rPr>
        <w:t xml:space="preserve">di «riutilizzo» ai sensi dell'art. 183, comma l,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r), d.lgs. 152/2006, cit.. 2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3. Con il secondo motivo eccepisce, ai sensi dell'art. 606,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e), cod.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., contraddittorietà o manifesta illogicità della motivazione, essendo inconciliabile</w:t>
      </w:r>
      <w:r w:rsidR="00D76595">
        <w:rPr>
          <w:rFonts w:ascii="Times New Roman" w:hAnsi="Times New Roman" w:cs="Times New Roman"/>
          <w:sz w:val="24"/>
          <w:szCs w:val="24"/>
        </w:rPr>
        <w:t xml:space="preserve"> l'assoluzione di G. F. P.</w:t>
      </w:r>
      <w:r w:rsidRPr="00E03F37">
        <w:rPr>
          <w:rFonts w:ascii="Times New Roman" w:hAnsi="Times New Roman" w:cs="Times New Roman"/>
          <w:sz w:val="24"/>
          <w:szCs w:val="24"/>
        </w:rPr>
        <w:t xml:space="preserve">, titolare </w:t>
      </w:r>
      <w:r w:rsidRPr="00E03F37">
        <w:rPr>
          <w:rFonts w:ascii="Times New Roman" w:hAnsi="Times New Roman" w:cs="Times New Roman"/>
          <w:sz w:val="24"/>
          <w:szCs w:val="24"/>
        </w:rPr>
        <w:lastRenderedPageBreak/>
        <w:t xml:space="preserve">dell'impresa conferente, imputato del medesimo reato, con la formula </w:t>
      </w:r>
      <w:r w:rsidR="00D76595">
        <w:rPr>
          <w:rFonts w:ascii="Times New Roman" w:hAnsi="Times New Roman" w:cs="Times New Roman"/>
          <w:sz w:val="24"/>
          <w:szCs w:val="24"/>
        </w:rPr>
        <w:t>«perché il fatto non sussiste»</w:t>
      </w:r>
      <w:r w:rsidR="004B3C9A">
        <w:rPr>
          <w:rFonts w:ascii="Times New Roman" w:hAnsi="Times New Roman" w:cs="Times New Roman"/>
          <w:sz w:val="24"/>
          <w:szCs w:val="24"/>
        </w:rPr>
        <w:t>, con la condanna del R.</w:t>
      </w:r>
      <w:r w:rsidRPr="00E03F37">
        <w:rPr>
          <w:rFonts w:ascii="Times New Roman" w:hAnsi="Times New Roman" w:cs="Times New Roman"/>
          <w:sz w:val="24"/>
          <w:szCs w:val="24"/>
        </w:rPr>
        <w:t xml:space="preserve"> per il medesimo reato. </w:t>
      </w:r>
    </w:p>
    <w:p w:rsidR="00D76595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6595" w:rsidRPr="00D76595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6595">
        <w:rPr>
          <w:rFonts w:ascii="Times New Roman" w:hAnsi="Times New Roman" w:cs="Times New Roman"/>
          <w:b/>
          <w:sz w:val="24"/>
          <w:szCs w:val="24"/>
        </w:rPr>
        <w:t>Considerato in diritto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Il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ricorso è infondato e deve essere respinto con condanna del ricorrente al pagamento delle spese processuali.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 Il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primo motivo è infondato.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Il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Tribunale ha affermato la penale responsabilità dell'imputato sulla scorta delle seguenti considerazioni e circostanze di fatto: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a) in sede di sopralluogo gli operanti avevano notato numerosi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 accatastati in perfette condizioni; altri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", che presentavano rotture che li rendevano inadatti ad</w:t>
      </w:r>
      <w:r w:rsidR="004B3C9A">
        <w:rPr>
          <w:rFonts w:ascii="Times New Roman" w:hAnsi="Times New Roman" w:cs="Times New Roman"/>
          <w:sz w:val="24"/>
          <w:szCs w:val="24"/>
        </w:rPr>
        <w:t xml:space="preserve"> un loro immediato riutilizzo (l</w:t>
      </w:r>
      <w:r w:rsidRPr="00E03F37">
        <w:rPr>
          <w:rFonts w:ascii="Times New Roman" w:hAnsi="Times New Roman" w:cs="Times New Roman"/>
          <w:sz w:val="24"/>
          <w:szCs w:val="24"/>
        </w:rPr>
        <w:t xml:space="preserve">istelli rotti, parti di asse rotti), erano accatastati separatamente;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b) in prossimità di questi ultimi vi era un bancone da lavoro sul quale era posato un "pallet" e personale in corrispondenza di esso, sì da ritenere che fosse in corso un'attività di riparazione;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c) alcune delle fatture di ve</w:t>
      </w:r>
      <w:r w:rsidR="00D76595">
        <w:rPr>
          <w:rFonts w:ascii="Times New Roman" w:hAnsi="Times New Roman" w:cs="Times New Roman"/>
          <w:sz w:val="24"/>
          <w:szCs w:val="24"/>
        </w:rPr>
        <w:t>ndita, emesse dalla «I.</w:t>
      </w:r>
      <w:r w:rsidR="00EB17F7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S.p.a.» (industria dolciaria le</w:t>
      </w:r>
      <w:r w:rsidR="00D76595">
        <w:rPr>
          <w:rFonts w:ascii="Times New Roman" w:hAnsi="Times New Roman" w:cs="Times New Roman"/>
          <w:sz w:val="24"/>
          <w:szCs w:val="24"/>
        </w:rPr>
        <w:t>galmente rappresentata dal G.), recavano come oggetto «bancali rotti» o  «pallet di scarto»</w:t>
      </w:r>
      <w:r w:rsidRPr="00E03F3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d) presso la «I.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S.p.a.» erano state acquisite numerose fatture di vendita dalle quali era emerso che nel 2012 e</w:t>
      </w:r>
      <w:r>
        <w:rPr>
          <w:rFonts w:ascii="Times New Roman" w:hAnsi="Times New Roman" w:cs="Times New Roman"/>
          <w:sz w:val="24"/>
          <w:szCs w:val="24"/>
        </w:rPr>
        <w:t>rano stati venduti alla «E.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S.r.l.» kg. 4350 di rifiuti da imballaggio in legno, mentre altri kg. 4080 erano stati smaltiti, a partire dal 23/10/2012, mediante conferimento documentato dai relativi formulari;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e) il G.</w:t>
      </w:r>
      <w:r w:rsidR="00E03F37" w:rsidRPr="00E03F37">
        <w:rPr>
          <w:rFonts w:ascii="Times New Roman" w:hAnsi="Times New Roman" w:cs="Times New Roman"/>
          <w:sz w:val="24"/>
          <w:szCs w:val="24"/>
        </w:rPr>
        <w:t>, in sede di esame, aveva affermato che i bancali rotti, e comunque imperfetti, non potevano in alcun caso essere riutilizzati nell'ambito dell'industria alimentare; diversamente dai bancali distrutti, avviati allo smalti mento come rifiuti, quelli appena danneggiati erano st</w:t>
      </w:r>
      <w:r>
        <w:rPr>
          <w:rFonts w:ascii="Times New Roman" w:hAnsi="Times New Roman" w:cs="Times New Roman"/>
          <w:sz w:val="24"/>
          <w:szCs w:val="24"/>
        </w:rPr>
        <w:t>ati invece venduti alla «E. S.r.l.»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, essendo riutilizzabili per l'industria meccanica;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f) l'imputato, che aveva ammesso di non effettuare lavorazioni per conto terzi, aveva affermato che 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" rotti rinvenuti nel corso dell'ispezione si erano rovinati durante i vari trasporti, ma il dato era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documentalmente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 smentito dalle fatture di acquisto, che indicavano esp</w:t>
      </w:r>
      <w:r w:rsidR="00D76595">
        <w:rPr>
          <w:rFonts w:ascii="Times New Roman" w:hAnsi="Times New Roman" w:cs="Times New Roman"/>
          <w:sz w:val="24"/>
          <w:szCs w:val="24"/>
        </w:rPr>
        <w:t xml:space="preserve">ressamente come loro oggetto i </w:t>
      </w:r>
      <w:r w:rsidRPr="00E03F37">
        <w:rPr>
          <w:rFonts w:ascii="Times New Roman" w:hAnsi="Times New Roman" w:cs="Times New Roman"/>
          <w:sz w:val="24"/>
          <w:szCs w:val="24"/>
        </w:rPr>
        <w:t>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 rotti, e da quanto constatato dagli st</w:t>
      </w:r>
      <w:r w:rsidR="00D76595">
        <w:rPr>
          <w:rFonts w:ascii="Times New Roman" w:hAnsi="Times New Roman" w:cs="Times New Roman"/>
          <w:sz w:val="24"/>
          <w:szCs w:val="24"/>
        </w:rPr>
        <w:t xml:space="preserve">essi operanti che in sede di </w:t>
      </w:r>
      <w:r w:rsidRPr="00E03F37">
        <w:rPr>
          <w:rFonts w:ascii="Times New Roman" w:hAnsi="Times New Roman" w:cs="Times New Roman"/>
          <w:sz w:val="24"/>
          <w:szCs w:val="24"/>
        </w:rPr>
        <w:t>ispezione avevano notato la presenza di attrezzatur</w:t>
      </w:r>
      <w:r w:rsidR="00D76595">
        <w:rPr>
          <w:rFonts w:ascii="Times New Roman" w:hAnsi="Times New Roman" w:cs="Times New Roman"/>
          <w:sz w:val="24"/>
          <w:szCs w:val="24"/>
        </w:rPr>
        <w:t xml:space="preserve">a nuova utilizzata per la loro </w:t>
      </w:r>
      <w:r w:rsidRPr="00E03F37">
        <w:rPr>
          <w:rFonts w:ascii="Times New Roman" w:hAnsi="Times New Roman" w:cs="Times New Roman"/>
          <w:sz w:val="24"/>
          <w:szCs w:val="24"/>
        </w:rPr>
        <w:t xml:space="preserve">riparazione;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g) nel mese di aprile 2012 una persona qualificatasi come rappr</w:t>
      </w:r>
      <w:r w:rsidR="00D76595">
        <w:rPr>
          <w:rFonts w:ascii="Times New Roman" w:hAnsi="Times New Roman" w:cs="Times New Roman"/>
          <w:sz w:val="24"/>
          <w:szCs w:val="24"/>
        </w:rPr>
        <w:t>esentante della «E. S.</w:t>
      </w:r>
      <w:r w:rsidRPr="00E03F3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E03F37">
        <w:rPr>
          <w:rFonts w:ascii="Times New Roman" w:hAnsi="Times New Roman" w:cs="Times New Roman"/>
          <w:sz w:val="24"/>
          <w:szCs w:val="24"/>
        </w:rPr>
        <w:t xml:space="preserve">S.r.l.» accompagnata dal commercialista dell'impresa, aveva chiesto in Provincia informazioni sulle procedure da seguire per ottenere l'autorizzazione alla gestione dei rifiuti.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5.2. Così ricostruita la vicenda, è agevole affermare che le censure sono infondate in fatto, prima ancora che in diritto. </w:t>
      </w:r>
    </w:p>
    <w:p w:rsidR="00E03F37" w:rsidRPr="00E03F37" w:rsidRDefault="004B3C9A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 Il </w:t>
      </w:r>
      <w:r w:rsidR="00E03F37" w:rsidRPr="00E03F37">
        <w:rPr>
          <w:rFonts w:ascii="Times New Roman" w:hAnsi="Times New Roman" w:cs="Times New Roman"/>
          <w:sz w:val="24"/>
          <w:szCs w:val="24"/>
        </w:rPr>
        <w:t>Tribunale, infatti, parte da una constatazione di fatto oggettivamente incontestata: l</w:t>
      </w:r>
      <w:r w:rsidR="00D76595">
        <w:rPr>
          <w:rFonts w:ascii="Times New Roman" w:hAnsi="Times New Roman" w:cs="Times New Roman"/>
          <w:sz w:val="24"/>
          <w:szCs w:val="24"/>
        </w:rPr>
        <w:t xml:space="preserve">a inutilità per la «I. 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S.p.a.» dei bancali anche solo minimamente danneggiati; di qui la necessità (o comunque l'intenzione) di disfarsene.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="00E03F37" w:rsidRPr="00E03F3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Deve intendersi per rifiuto qualsiasi sostanza od oggetto di cui il produttore o il detentore si disfi, o abbia deciso o abbia l'obbligo di disfarsi, senza che assuma rilievo la circostanza che ciò avvenga attraverso lo smaltimento del prodotto o tramite il suo recupero. E ciò sia in base all'interpretazione della definizione di rifiuto data dal legislatore nazionale, sia per giurisprudenza della Corte di Giustizia della Comunità Europea, le cui decisioni sono immediatamente e direttamente applicabili in ambito nazionale, secondo la quale la nozione di rifiuto non deve essere intesa nel senso di escludere le sostanze e gli oggetti suscettibili di riutilizzazione economica, atteso che la protezione della salute umana e dell'ambiente verrebbe ad essere compromessa qualora l'applicazione delle direttive comunitarie in materia fosse fatta dipendere dall'intenzione del detentore di escludere o meno una riutilizzazione economica da parte di altri delle sostanza o degli oggetti di cui ci si disfa (o si sia deciso o si abbia l'obbligo di disfarsi) (Sez. 3, n. 2125 del 27/11/2002, Ferretti, </w:t>
      </w:r>
      <w:proofErr w:type="spellStart"/>
      <w:r w:rsidR="00E03F37" w:rsidRPr="00E03F37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="00E03F37" w:rsidRPr="00E03F37">
        <w:rPr>
          <w:rFonts w:ascii="Times New Roman" w:hAnsi="Times New Roman" w:cs="Times New Roman"/>
          <w:sz w:val="24"/>
          <w:szCs w:val="24"/>
        </w:rPr>
        <w:t xml:space="preserve">. 223291).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5.5.</w:t>
      </w:r>
      <w:r w:rsidR="00D76595">
        <w:rPr>
          <w:rFonts w:ascii="Times New Roman" w:hAnsi="Times New Roman" w:cs="Times New Roman"/>
          <w:sz w:val="24"/>
          <w:szCs w:val="24"/>
        </w:rPr>
        <w:t xml:space="preserve"> Il</w:t>
      </w:r>
      <w:r w:rsidRPr="00E03F37">
        <w:rPr>
          <w:rFonts w:ascii="Times New Roman" w:hAnsi="Times New Roman" w:cs="Times New Roman"/>
          <w:sz w:val="24"/>
          <w:szCs w:val="24"/>
        </w:rPr>
        <w:t xml:space="preserve"> termine «disfarsi» (da sempre utilizzato dal legislatore europeo) è diverso da quello di «abbandono», inizialmente utilizzato dal legislatore italiano del 1982 per definire il rifiuto (art. 2,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lastRenderedPageBreak/>
        <w:t>d.P.R.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 10 settembre 1982, n, 915); e tuttavia per quanto il primo termine evochi meglio il concetto della inutilità della cosa che non risponde più alle esigenze e agli interessi del suo detentore, ciò nondimeno la giurisprudenza di questa Corte non aveva mancato di evidenziare la sostanziale equivalenza dei due termini, nel senso che "oggetto abbandonato o destinato all'abbandono" andava inteso non nel senso civilistico di "res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nullius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" o di "res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derelicta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", disponibile all'apprensione di chiunque, sebbene di oggetto ormai inservibile, dismesso o destinato ad essere dismesso da colui che lo possiede, anche mediante un negozio gi</w:t>
      </w:r>
      <w:r w:rsidR="00D76595">
        <w:rPr>
          <w:rFonts w:ascii="Times New Roman" w:hAnsi="Times New Roman" w:cs="Times New Roman"/>
          <w:sz w:val="24"/>
          <w:szCs w:val="24"/>
        </w:rPr>
        <w:t xml:space="preserve">uridico (Sez. 3, n. 11237, del </w:t>
      </w:r>
      <w:r w:rsidRPr="00E03F37">
        <w:rPr>
          <w:rFonts w:ascii="Times New Roman" w:hAnsi="Times New Roman" w:cs="Times New Roman"/>
          <w:sz w:val="24"/>
          <w:szCs w:val="24"/>
        </w:rPr>
        <w:t xml:space="preserve"> 16/02/1988,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Ridolfi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179749; Sez. 3, n. 2607 del 15/01/1991,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Lubardi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186489).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5.6.</w:t>
      </w:r>
      <w:r w:rsidR="00D76595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 xml:space="preserve">Non rileva, pertanto, l'interesse che altri possa avere allo sfruttamento del bene inservibile e non più utile al suo detentore, poiché tale interesse non trasforma il rifiuto in qualcosa di diverso.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5.7.</w:t>
      </w:r>
      <w:r w:rsidR="00D76595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 xml:space="preserve">La possibilità, contemplata dal legislatore e già riconosciuta dalla giurisprudenza di legittimità, che del rifiuto, in quanto tale, possa farsi commercio (art. 256, comma 1, d.lgs. 3 aprile 2006, n. 152) rende chiara la prospettiva adottata dal legislatore nella sua potestà definitoria, peraltro vincolata al rispetto delle direttive dell'Unione Europea.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5.8.O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ccorre dunque porsi nell'ottica esclusiva del detentore/produttore del rifiuto, non in quella di chi ha interesse all'utilizzo del rifiuto stesso.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5.9.E' la condotta del detentore/produttore che qualifica l'oggetto come rifiuto e che con la sua azione del «disfarsi» pone un "problema", quello della gestione del rifiuto, la cui risoluzione costituisce attività di pubblico interesse (art. 177, comma 2, d.lgs. 152/2006).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5.10.</w:t>
      </w:r>
      <w:r w:rsidR="00D76595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 xml:space="preserve">La nozione di sottoprodotto concorre a meglio circoscrivere l'ambito della condotta del «disfarsi». </w:t>
      </w:r>
    </w:p>
    <w:p w:rsidR="00E03F37" w:rsidRPr="00E03F37" w:rsidRDefault="00D76595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5.11</w:t>
      </w:r>
      <w:r w:rsidR="00E03F37" w:rsidRPr="00E03F3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Sottoprodotti son sempre state quelle sostanze o quegli oggetti dei quali sin dall'inizio fosse certa, e non eventuale, la destinazione al riutilizzo nel medesimo ciclo produttivo o alla loro utilizzazione da parte di terzi (art. 183, comma 1, </w:t>
      </w:r>
      <w:proofErr w:type="spellStart"/>
      <w:r w:rsidR="00E03F37"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="00E03F37" w:rsidRPr="00E03F37">
        <w:rPr>
          <w:rFonts w:ascii="Times New Roman" w:hAnsi="Times New Roman" w:cs="Times New Roman"/>
          <w:sz w:val="24"/>
          <w:szCs w:val="24"/>
        </w:rPr>
        <w:t xml:space="preserve">. n), d.lgs. 152/2006, nella sua versione originaria; art. 183, comma 1, </w:t>
      </w:r>
      <w:proofErr w:type="spellStart"/>
      <w:r w:rsidR="00E03F37"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="00E03F37" w:rsidRPr="00E03F37">
        <w:rPr>
          <w:rFonts w:ascii="Times New Roman" w:hAnsi="Times New Roman" w:cs="Times New Roman"/>
          <w:sz w:val="24"/>
          <w:szCs w:val="24"/>
        </w:rPr>
        <w:t>. p), d.lgs. 152/2006 come modifica</w:t>
      </w:r>
      <w:r w:rsidR="004B3C9A">
        <w:rPr>
          <w:rFonts w:ascii="Times New Roman" w:hAnsi="Times New Roman" w:cs="Times New Roman"/>
          <w:sz w:val="24"/>
          <w:szCs w:val="24"/>
        </w:rPr>
        <w:t xml:space="preserve">to dal d.lgs. 16 gennaio 2008,  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n. 4; art. 184-bis, d.lgs. 152/2006, introdotto dall'art. 12, d.lgs. 3 dicembre 2010, n. 205).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5.12. E' questa certezza oggettiva del riutilizzo che esclude a monte l'intenzione di disfarsi dell'oggetto o della sostanza (così espressamente art. 183, comma 1,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. p), d.lgs. 152/2006 come modifica</w:t>
      </w:r>
      <w:r w:rsidR="004B3C9A">
        <w:rPr>
          <w:rFonts w:ascii="Times New Roman" w:hAnsi="Times New Roman" w:cs="Times New Roman"/>
          <w:sz w:val="24"/>
          <w:szCs w:val="24"/>
        </w:rPr>
        <w:t xml:space="preserve">to dal d.lgs. 16 gennaio 2008, </w:t>
      </w:r>
      <w:r w:rsidRPr="00E03F37">
        <w:rPr>
          <w:rFonts w:ascii="Times New Roman" w:hAnsi="Times New Roman" w:cs="Times New Roman"/>
          <w:sz w:val="24"/>
          <w:szCs w:val="24"/>
        </w:rPr>
        <w:t xml:space="preserve">n. 4) e che concorre, insieme con le ulteriori condizioni previste dalle norme definitorie che si sono succedute nel tempo, a escluderlo dall'ambito di applicabilità della normativa sui rifiuti.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5.13.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 xml:space="preserve">La mancanza di certezze iniziali sull'intenzione del produttore/ detentore del rifiuto di «disfarsene» e l'eventualità di un suo riutilizzo legata a pure contingenze, impedisce in radice che esso possa essere qualificato come «sottoprodotto» sol perché il detentore se ne disfi mediante un negozio giuridico.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5.14. Alla luce dei principi che precedono appare agevole constatare che 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" acquistati rotti dall'imputato per essere riparati e reimmessi sul mercato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 xml:space="preserve">erano rifiuti a tutti gli effetti e che l'attività </w:t>
      </w:r>
      <w:r w:rsidR="004B3C9A">
        <w:rPr>
          <w:rFonts w:ascii="Times New Roman" w:hAnsi="Times New Roman" w:cs="Times New Roman"/>
          <w:sz w:val="24"/>
          <w:szCs w:val="24"/>
        </w:rPr>
        <w:t>posta in essere dalla «E. S.</w:t>
      </w:r>
      <w:r w:rsidRPr="00E03F37">
        <w:rPr>
          <w:rFonts w:ascii="Times New Roman" w:hAnsi="Times New Roman" w:cs="Times New Roman"/>
          <w:sz w:val="24"/>
          <w:szCs w:val="24"/>
        </w:rPr>
        <w:t xml:space="preserve"> S.r.l.» costituiva attività (non autorizzata) di «recupero» di cui all'art. 183, comma l,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t), d.lgs. 152/2006,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cit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 ..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5.15</w:t>
      </w:r>
      <w:r w:rsidR="004B3C9A">
        <w:rPr>
          <w:rFonts w:ascii="Times New Roman" w:hAnsi="Times New Roman" w:cs="Times New Roman"/>
          <w:sz w:val="24"/>
          <w:szCs w:val="24"/>
        </w:rPr>
        <w:t>. I</w:t>
      </w:r>
      <w:r w:rsidRPr="00E03F37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", infatti, costituivano oggetti dei quali non era certa sin dall'inizio la loro destinaz</w:t>
      </w:r>
      <w:r w:rsidR="004B3C9A">
        <w:rPr>
          <w:rFonts w:ascii="Times New Roman" w:hAnsi="Times New Roman" w:cs="Times New Roman"/>
          <w:sz w:val="24"/>
          <w:szCs w:val="24"/>
        </w:rPr>
        <w:t>ione e dei quali la «I.</w:t>
      </w:r>
      <w:r w:rsidRPr="00E03F37">
        <w:rPr>
          <w:rFonts w:ascii="Times New Roman" w:hAnsi="Times New Roman" w:cs="Times New Roman"/>
          <w:sz w:val="24"/>
          <w:szCs w:val="24"/>
        </w:rPr>
        <w:t xml:space="preserve"> S.p.a.» si sarebbe disfatta se non fossero stati a</w:t>
      </w:r>
      <w:r w:rsidR="004B3C9A">
        <w:rPr>
          <w:rFonts w:ascii="Times New Roman" w:hAnsi="Times New Roman" w:cs="Times New Roman"/>
          <w:sz w:val="24"/>
          <w:szCs w:val="24"/>
        </w:rPr>
        <w:t>cquistati dalla «E. S.</w:t>
      </w:r>
      <w:r w:rsidRPr="00E03F37">
        <w:rPr>
          <w:rFonts w:ascii="Times New Roman" w:hAnsi="Times New Roman" w:cs="Times New Roman"/>
          <w:sz w:val="24"/>
          <w:szCs w:val="24"/>
        </w:rPr>
        <w:t xml:space="preserve"> S.r.l.».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5.16.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A ciò si aggiunga che 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" non erano originati da un processo di produzione di cui costituivano parte integrante. Essi, invece, venivano sottoposti presso l'impresa dell'imputato a trattamento, mediante operazioni di recupero che ne consentissero la futura commerciabilità.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5.17.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La condotta posta in essere integra, dunque, l'attività finalizzata alla cessazione della qualità di rifiuto dei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" di cui all'art. 184-ter, d.lgs. 152/2006, per il cui esercizio è necessaria l'autorizzazione.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5.18.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La natura di rifiuto dei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", inoltre, esclude in radice che la condotta addebitata all'imputato p</w:t>
      </w:r>
      <w:r w:rsidR="004B3C9A">
        <w:rPr>
          <w:rFonts w:ascii="Times New Roman" w:hAnsi="Times New Roman" w:cs="Times New Roman"/>
          <w:sz w:val="24"/>
          <w:szCs w:val="24"/>
        </w:rPr>
        <w:t>ossa essere qualificata come  «riutilizzo»</w:t>
      </w:r>
      <w:r w:rsidRPr="00E03F37">
        <w:rPr>
          <w:rFonts w:ascii="Times New Roman" w:hAnsi="Times New Roman" w:cs="Times New Roman"/>
          <w:sz w:val="24"/>
          <w:szCs w:val="24"/>
        </w:rPr>
        <w:t xml:space="preserve"> di cui all'art. 183, comma l, 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 xml:space="preserve">. r), d.lgs. 152/2006, cit., che ha ad oggetto "prodotti o componenti che non sono rifiuti". </w:t>
      </w:r>
    </w:p>
    <w:p w:rsidR="00E03F37" w:rsidRPr="00E03F37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lastRenderedPageBreak/>
        <w:t>6.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 xml:space="preserve">E' palesemente infondato il secondo motivo di ricorso. </w:t>
      </w:r>
    </w:p>
    <w:p w:rsidR="00E03F37" w:rsidRPr="00E03F37" w:rsidRDefault="004B3C9A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 Il G.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era stato imputato del </w:t>
      </w:r>
      <w:r>
        <w:rPr>
          <w:rFonts w:ascii="Times New Roman" w:hAnsi="Times New Roman" w:cs="Times New Roman"/>
          <w:sz w:val="24"/>
          <w:szCs w:val="24"/>
        </w:rPr>
        <w:t>medesimo reato ascritto al R.</w:t>
      </w:r>
      <w:r w:rsidR="00E03F37" w:rsidRPr="00E03F37">
        <w:rPr>
          <w:rFonts w:ascii="Times New Roman" w:hAnsi="Times New Roman" w:cs="Times New Roman"/>
          <w:sz w:val="24"/>
          <w:szCs w:val="24"/>
        </w:rPr>
        <w:t xml:space="preserve"> per aver conferito a questi i "</w:t>
      </w:r>
      <w:proofErr w:type="spellStart"/>
      <w:r w:rsidR="00E03F37"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="00E03F37" w:rsidRPr="00E03F37">
        <w:rPr>
          <w:rFonts w:ascii="Times New Roman" w:hAnsi="Times New Roman" w:cs="Times New Roman"/>
          <w:sz w:val="24"/>
          <w:szCs w:val="24"/>
        </w:rPr>
        <w:t xml:space="preserve">" in questione. </w:t>
      </w:r>
    </w:p>
    <w:p w:rsidR="00F04C73" w:rsidRDefault="00E03F37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F37">
        <w:rPr>
          <w:rFonts w:ascii="Times New Roman" w:hAnsi="Times New Roman" w:cs="Times New Roman"/>
          <w:sz w:val="24"/>
          <w:szCs w:val="24"/>
        </w:rPr>
        <w:t>6.2.</w:t>
      </w:r>
      <w:r w:rsidR="004B3C9A">
        <w:rPr>
          <w:rFonts w:ascii="Times New Roman" w:hAnsi="Times New Roman" w:cs="Times New Roman"/>
          <w:sz w:val="24"/>
          <w:szCs w:val="24"/>
        </w:rPr>
        <w:t xml:space="preserve"> </w:t>
      </w:r>
      <w:r w:rsidRPr="00E03F37">
        <w:rPr>
          <w:rFonts w:ascii="Times New Roman" w:hAnsi="Times New Roman" w:cs="Times New Roman"/>
          <w:sz w:val="24"/>
          <w:szCs w:val="24"/>
        </w:rPr>
        <w:t>La sua assoluzione ha totalmente prescisso dalla qualifica come rifiuto dei "</w:t>
      </w:r>
      <w:proofErr w:type="spellStart"/>
      <w:r w:rsidRPr="00E03F37">
        <w:rPr>
          <w:rFonts w:ascii="Times New Roman" w:hAnsi="Times New Roman" w:cs="Times New Roman"/>
          <w:sz w:val="24"/>
          <w:szCs w:val="24"/>
        </w:rPr>
        <w:t>pallets</w:t>
      </w:r>
      <w:proofErr w:type="spellEnd"/>
      <w:r w:rsidRPr="00E03F37">
        <w:rPr>
          <w:rFonts w:ascii="Times New Roman" w:hAnsi="Times New Roman" w:cs="Times New Roman"/>
          <w:sz w:val="24"/>
          <w:szCs w:val="24"/>
        </w:rPr>
        <w:t>"</w:t>
      </w:r>
      <w:r w:rsidR="004B3C9A">
        <w:rPr>
          <w:rFonts w:ascii="Times New Roman" w:hAnsi="Times New Roman" w:cs="Times New Roman"/>
          <w:sz w:val="24"/>
          <w:szCs w:val="24"/>
        </w:rPr>
        <w:t xml:space="preserve"> conferiti alla «E. S.</w:t>
      </w:r>
      <w:r w:rsidRPr="00E03F37">
        <w:rPr>
          <w:rFonts w:ascii="Times New Roman" w:hAnsi="Times New Roman" w:cs="Times New Roman"/>
          <w:sz w:val="24"/>
          <w:szCs w:val="24"/>
        </w:rPr>
        <w:t xml:space="preserve"> S.r.l.», avendo il Tribunale ritenuto credibile la tesi difensiva dell'errore nell'invio dei bancali rotti (che invece avrebbero dovuto essere avviati a smaltimento).</w:t>
      </w:r>
    </w:p>
    <w:p w:rsidR="004B3C9A" w:rsidRDefault="004B3C9A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3C9A" w:rsidRPr="004B3C9A" w:rsidRDefault="004B3C9A" w:rsidP="00E03F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3C9A">
        <w:rPr>
          <w:rFonts w:ascii="Times New Roman" w:hAnsi="Times New Roman" w:cs="Times New Roman"/>
          <w:sz w:val="24"/>
          <w:szCs w:val="24"/>
        </w:rPr>
        <w:t>[omissis]</w:t>
      </w:r>
    </w:p>
    <w:sectPr w:rsidR="004B3C9A" w:rsidRPr="004B3C9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F37"/>
    <w:rsid w:val="004B3C9A"/>
    <w:rsid w:val="00576B25"/>
    <w:rsid w:val="00D76595"/>
    <w:rsid w:val="00E03F37"/>
    <w:rsid w:val="00EB17F7"/>
    <w:rsid w:val="00F04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2005</Words>
  <Characters>11434</Characters>
  <Application>Microsoft Office Word</Application>
  <DocSecurity>0</DocSecurity>
  <Lines>95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 Tonoli</dc:creator>
  <cp:lastModifiedBy>Rita Tonoli</cp:lastModifiedBy>
  <cp:revision>3</cp:revision>
  <dcterms:created xsi:type="dcterms:W3CDTF">2014-12-23T13:43:00Z</dcterms:created>
  <dcterms:modified xsi:type="dcterms:W3CDTF">2014-12-23T14:09:00Z</dcterms:modified>
</cp:coreProperties>
</file>