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430" w:rsidRPr="003C6430" w:rsidRDefault="00223AA4" w:rsidP="003C6430">
      <w:pPr>
        <w:spacing w:after="0"/>
        <w:jc w:val="both"/>
        <w:rPr>
          <w:rFonts w:ascii="Times New Roman" w:hAnsi="Times New Roman" w:cs="Times New Roman"/>
          <w:sz w:val="24"/>
          <w:szCs w:val="24"/>
        </w:rPr>
      </w:pPr>
      <w:r w:rsidRPr="00223AA4">
        <w:rPr>
          <w:rFonts w:ascii="Times New Roman" w:hAnsi="Times New Roman" w:cs="Times New Roman"/>
          <w:b/>
          <w:sz w:val="24"/>
          <w:szCs w:val="24"/>
        </w:rPr>
        <w:t xml:space="preserve">Cass. Pen., Sez. III n. 16754 del 12/04/2013 – Pres. </w:t>
      </w:r>
      <w:r>
        <w:rPr>
          <w:rFonts w:ascii="Times New Roman" w:hAnsi="Times New Roman" w:cs="Times New Roman"/>
          <w:b/>
          <w:sz w:val="24"/>
          <w:szCs w:val="24"/>
        </w:rPr>
        <w:t>Squassoni – Est. Rosi – Ric. P. S. e T. V.</w:t>
      </w:r>
      <w:r w:rsidR="003C6430" w:rsidRPr="003C6430">
        <w:rPr>
          <w:rFonts w:ascii="Times New Roman" w:hAnsi="Times New Roman" w:cs="Times New Roman"/>
          <w:sz w:val="24"/>
          <w:szCs w:val="24"/>
        </w:rPr>
        <w:t xml:space="preserve"> </w:t>
      </w:r>
    </w:p>
    <w:p w:rsidR="00F153EF" w:rsidRDefault="00F153EF" w:rsidP="003C6430">
      <w:pPr>
        <w:spacing w:after="0"/>
        <w:jc w:val="both"/>
        <w:rPr>
          <w:rFonts w:ascii="Times New Roman" w:hAnsi="Times New Roman" w:cs="Times New Roman"/>
          <w:b/>
          <w:sz w:val="24"/>
          <w:szCs w:val="24"/>
        </w:rPr>
      </w:pPr>
    </w:p>
    <w:p w:rsidR="00223AA4" w:rsidRDefault="00223AA4" w:rsidP="003C6430">
      <w:pPr>
        <w:spacing w:after="0"/>
        <w:jc w:val="both"/>
        <w:rPr>
          <w:rFonts w:ascii="Times New Roman" w:hAnsi="Times New Roman" w:cs="Times New Roman"/>
          <w:sz w:val="24"/>
          <w:szCs w:val="24"/>
        </w:rPr>
      </w:pPr>
      <w:r w:rsidRPr="00F153EF">
        <w:rPr>
          <w:rFonts w:ascii="Times New Roman" w:hAnsi="Times New Roman" w:cs="Times New Roman"/>
          <w:b/>
          <w:sz w:val="24"/>
          <w:szCs w:val="24"/>
        </w:rPr>
        <w:t xml:space="preserve">Rifiuti </w:t>
      </w:r>
      <w:r>
        <w:rPr>
          <w:rFonts w:ascii="Times New Roman" w:hAnsi="Times New Roman" w:cs="Times New Roman"/>
          <w:sz w:val="24"/>
          <w:szCs w:val="24"/>
        </w:rPr>
        <w:t>–</w:t>
      </w:r>
      <w:r w:rsidR="003A2C08">
        <w:rPr>
          <w:rFonts w:ascii="Times New Roman" w:hAnsi="Times New Roman" w:cs="Times New Roman"/>
          <w:sz w:val="24"/>
          <w:szCs w:val="24"/>
        </w:rPr>
        <w:t xml:space="preserve"> Q</w:t>
      </w:r>
      <w:bookmarkStart w:id="0" w:name="_GoBack"/>
      <w:bookmarkEnd w:id="0"/>
      <w:r w:rsidR="00F73996">
        <w:rPr>
          <w:rFonts w:ascii="Times New Roman" w:hAnsi="Times New Roman" w:cs="Times New Roman"/>
          <w:sz w:val="24"/>
          <w:szCs w:val="24"/>
        </w:rPr>
        <w:t>uando è reato lo smaltimento delle acque provenienti da un frantoio oleario?</w:t>
      </w:r>
    </w:p>
    <w:p w:rsidR="00C1117C" w:rsidRDefault="00C1117C" w:rsidP="003C6430">
      <w:pPr>
        <w:spacing w:after="0"/>
        <w:jc w:val="both"/>
        <w:rPr>
          <w:rFonts w:ascii="Times New Roman" w:hAnsi="Times New Roman" w:cs="Times New Roman"/>
          <w:i/>
          <w:sz w:val="24"/>
          <w:szCs w:val="24"/>
        </w:rPr>
      </w:pPr>
    </w:p>
    <w:p w:rsidR="00F73996" w:rsidRPr="00F73996" w:rsidRDefault="00F73996" w:rsidP="00F73996">
      <w:pPr>
        <w:spacing w:after="0"/>
        <w:jc w:val="both"/>
        <w:rPr>
          <w:rFonts w:ascii="Times New Roman" w:hAnsi="Times New Roman" w:cs="Times New Roman"/>
          <w:i/>
          <w:sz w:val="24"/>
          <w:szCs w:val="24"/>
        </w:rPr>
      </w:pPr>
      <w:r>
        <w:rPr>
          <w:rFonts w:ascii="Times New Roman" w:hAnsi="Times New Roman" w:cs="Times New Roman"/>
          <w:i/>
          <w:sz w:val="24"/>
          <w:szCs w:val="24"/>
        </w:rPr>
        <w:t>I</w:t>
      </w:r>
      <w:r w:rsidRPr="00F73996">
        <w:rPr>
          <w:rFonts w:ascii="Times New Roman" w:hAnsi="Times New Roman" w:cs="Times New Roman"/>
          <w:i/>
          <w:sz w:val="24"/>
          <w:szCs w:val="24"/>
        </w:rPr>
        <w:t>ntegra il reato previsto dall'art. 256, comma secondo, del D. Lgs. 3 aprile 2006, n. 152, lo smaltimento, lo spandimento o l'abbandono incontrollati delle acque provenienti da un frantoio oleario</w:t>
      </w:r>
      <w:r>
        <w:rPr>
          <w:rFonts w:ascii="Times New Roman" w:hAnsi="Times New Roman" w:cs="Times New Roman"/>
          <w:i/>
          <w:sz w:val="24"/>
          <w:szCs w:val="24"/>
        </w:rPr>
        <w:t>. Non costituisce reato, invece, quando si può</w:t>
      </w:r>
      <w:r w:rsidRPr="00F73996">
        <w:rPr>
          <w:rFonts w:ascii="Times New Roman" w:hAnsi="Times New Roman" w:cs="Times New Roman"/>
          <w:i/>
          <w:sz w:val="24"/>
          <w:szCs w:val="24"/>
        </w:rPr>
        <w:t xml:space="preserve"> applicare la disciplina prevista dalla legge 11 novembre 1996, n. 574 </w:t>
      </w:r>
      <w:r>
        <w:rPr>
          <w:rFonts w:ascii="Times New Roman" w:hAnsi="Times New Roman" w:cs="Times New Roman"/>
          <w:i/>
          <w:sz w:val="24"/>
          <w:szCs w:val="24"/>
        </w:rPr>
        <w:t xml:space="preserve">cioè, </w:t>
      </w:r>
      <w:r w:rsidRPr="00F73996">
        <w:rPr>
          <w:rFonts w:ascii="Times New Roman" w:hAnsi="Times New Roman" w:cs="Times New Roman"/>
          <w:i/>
          <w:sz w:val="24"/>
          <w:szCs w:val="24"/>
        </w:rPr>
        <w:t xml:space="preserve">soltanto laddove i reflui oleari vengono impiegati a fini agricoli. </w:t>
      </w:r>
    </w:p>
    <w:p w:rsidR="003C6430" w:rsidRPr="003C6430" w:rsidRDefault="00223AA4" w:rsidP="003C6430">
      <w:pPr>
        <w:spacing w:after="0"/>
        <w:jc w:val="both"/>
        <w:rPr>
          <w:rFonts w:ascii="Times New Roman" w:hAnsi="Times New Roman" w:cs="Times New Roman"/>
          <w:sz w:val="24"/>
          <w:szCs w:val="24"/>
        </w:rPr>
      </w:pPr>
      <w:r>
        <w:rPr>
          <w:rFonts w:ascii="Times New Roman" w:hAnsi="Times New Roman" w:cs="Times New Roman"/>
          <w:sz w:val="24"/>
          <w:szCs w:val="24"/>
        </w:rPr>
        <w:br/>
      </w:r>
      <w:r w:rsidR="003C6430">
        <w:rPr>
          <w:rFonts w:ascii="Times New Roman" w:hAnsi="Times New Roman" w:cs="Times New Roman"/>
          <w:sz w:val="24"/>
          <w:szCs w:val="24"/>
        </w:rPr>
        <w:t>Ritenuto in fatto</w:t>
      </w:r>
      <w:r w:rsidR="003C6430" w:rsidRPr="003C6430">
        <w:rPr>
          <w:rFonts w:ascii="Times New Roman" w:hAnsi="Times New Roman" w:cs="Times New Roman"/>
          <w:sz w:val="24"/>
          <w:szCs w:val="24"/>
        </w:rPr>
        <w:t xml:space="preserve"> </w:t>
      </w:r>
    </w:p>
    <w:p w:rsidR="003C6430" w:rsidRPr="003C6430" w:rsidRDefault="003C6430" w:rsidP="003C6430">
      <w:pPr>
        <w:spacing w:after="0"/>
        <w:jc w:val="both"/>
        <w:rPr>
          <w:rFonts w:ascii="Times New Roman" w:hAnsi="Times New Roman" w:cs="Times New Roman"/>
          <w:sz w:val="24"/>
          <w:szCs w:val="24"/>
        </w:rPr>
      </w:pPr>
      <w:r w:rsidRPr="003C6430">
        <w:rPr>
          <w:rFonts w:ascii="Times New Roman" w:hAnsi="Times New Roman" w:cs="Times New Roman"/>
          <w:sz w:val="24"/>
          <w:szCs w:val="24"/>
        </w:rPr>
        <w:t xml:space="preserve">1. Il Tribunale di Lecce, sez. distaccata di Casarano, con sentenza del 2 novembre 2011 ha condannato, alla pena di euro 15 mila ciascuno di ammenda, </w:t>
      </w:r>
      <w:r w:rsidR="00223AA4">
        <w:rPr>
          <w:rFonts w:ascii="Times New Roman" w:hAnsi="Times New Roman" w:cs="Times New Roman"/>
          <w:sz w:val="24"/>
          <w:szCs w:val="24"/>
        </w:rPr>
        <w:t>P.</w:t>
      </w:r>
      <w:r w:rsidRPr="003C6430">
        <w:rPr>
          <w:rFonts w:ascii="Times New Roman" w:hAnsi="Times New Roman" w:cs="Times New Roman"/>
          <w:sz w:val="24"/>
          <w:szCs w:val="24"/>
        </w:rPr>
        <w:t xml:space="preserve"> </w:t>
      </w:r>
      <w:r w:rsidR="00223AA4">
        <w:rPr>
          <w:rFonts w:ascii="Times New Roman" w:hAnsi="Times New Roman" w:cs="Times New Roman"/>
          <w:sz w:val="24"/>
          <w:szCs w:val="24"/>
        </w:rPr>
        <w:t>S.</w:t>
      </w:r>
      <w:r w:rsidRPr="003C6430">
        <w:rPr>
          <w:rFonts w:ascii="Times New Roman" w:hAnsi="Times New Roman" w:cs="Times New Roman"/>
          <w:sz w:val="24"/>
          <w:szCs w:val="24"/>
        </w:rPr>
        <w:t xml:space="preserve"> e </w:t>
      </w:r>
      <w:r w:rsidR="00223AA4">
        <w:rPr>
          <w:rFonts w:ascii="Times New Roman" w:hAnsi="Times New Roman" w:cs="Times New Roman"/>
          <w:sz w:val="24"/>
          <w:szCs w:val="24"/>
        </w:rPr>
        <w:t>T. V.</w:t>
      </w:r>
      <w:r w:rsidRPr="003C6430">
        <w:rPr>
          <w:rFonts w:ascii="Times New Roman" w:hAnsi="Times New Roman" w:cs="Times New Roman"/>
          <w:sz w:val="24"/>
          <w:szCs w:val="24"/>
        </w:rPr>
        <w:t xml:space="preserve">, imputati per il reato di cui agli artt. 110, 113 comma 14, del D.lgs n. 152 del 2006, perché, il </w:t>
      </w:r>
      <w:r w:rsidR="00223AA4">
        <w:rPr>
          <w:rFonts w:ascii="Times New Roman" w:hAnsi="Times New Roman" w:cs="Times New Roman"/>
          <w:sz w:val="24"/>
          <w:szCs w:val="24"/>
        </w:rPr>
        <w:t>P.</w:t>
      </w:r>
      <w:r w:rsidRPr="003C6430">
        <w:rPr>
          <w:rFonts w:ascii="Times New Roman" w:hAnsi="Times New Roman" w:cs="Times New Roman"/>
          <w:sz w:val="24"/>
          <w:szCs w:val="24"/>
        </w:rPr>
        <w:t xml:space="preserve">, quale Presidente dell'Oleificio cooperativo </w:t>
      </w:r>
      <w:r w:rsidR="00223AA4">
        <w:rPr>
          <w:rFonts w:ascii="Times New Roman" w:hAnsi="Times New Roman" w:cs="Times New Roman"/>
          <w:sz w:val="24"/>
          <w:szCs w:val="24"/>
        </w:rPr>
        <w:t>S. M.</w:t>
      </w:r>
      <w:r w:rsidRPr="003C6430">
        <w:rPr>
          <w:rFonts w:ascii="Times New Roman" w:hAnsi="Times New Roman" w:cs="Times New Roman"/>
          <w:sz w:val="24"/>
          <w:szCs w:val="24"/>
        </w:rPr>
        <w:t>, ed il T</w:t>
      </w:r>
      <w:r w:rsidR="00223AA4">
        <w:rPr>
          <w:rFonts w:ascii="Times New Roman" w:hAnsi="Times New Roman" w:cs="Times New Roman"/>
          <w:sz w:val="24"/>
          <w:szCs w:val="24"/>
        </w:rPr>
        <w:t>.</w:t>
      </w:r>
      <w:r w:rsidRPr="003C6430">
        <w:rPr>
          <w:rFonts w:ascii="Times New Roman" w:hAnsi="Times New Roman" w:cs="Times New Roman"/>
          <w:sz w:val="24"/>
          <w:szCs w:val="24"/>
        </w:rPr>
        <w:t>, quale dipendente ed autista del mezzo di trasporto, scaricavano acque reflue di vegetazione di provenienza olearia nei terreni sui quali erano stati autorizzati, ma senza il rispetto delle procedure previste, atteso che erano stati accertati fenomeni di ruscellamento e lagunagglo in data 3 dicembre e 16 dicembre 2009, fatti accertati in Ruffano, c.da F</w:t>
      </w:r>
      <w:r w:rsidR="00223AA4">
        <w:rPr>
          <w:rFonts w:ascii="Times New Roman" w:hAnsi="Times New Roman" w:cs="Times New Roman"/>
          <w:sz w:val="24"/>
          <w:szCs w:val="24"/>
        </w:rPr>
        <w:t>.</w:t>
      </w:r>
      <w:r w:rsidRPr="003C6430">
        <w:rPr>
          <w:rFonts w:ascii="Times New Roman" w:hAnsi="Times New Roman" w:cs="Times New Roman"/>
          <w:sz w:val="24"/>
          <w:szCs w:val="24"/>
        </w:rPr>
        <w:t xml:space="preserve">, qualificando il fatto come reato di cui all'art. 256 c. 1 e 2 medesimo D.lgs. </w:t>
      </w:r>
    </w:p>
    <w:p w:rsidR="003C6430" w:rsidRDefault="003C6430" w:rsidP="003C6430">
      <w:pPr>
        <w:spacing w:after="0"/>
        <w:jc w:val="both"/>
        <w:rPr>
          <w:rFonts w:ascii="Times New Roman" w:hAnsi="Times New Roman" w:cs="Times New Roman"/>
          <w:sz w:val="24"/>
          <w:szCs w:val="24"/>
        </w:rPr>
      </w:pPr>
      <w:r w:rsidRPr="003C6430">
        <w:rPr>
          <w:rFonts w:ascii="Times New Roman" w:hAnsi="Times New Roman" w:cs="Times New Roman"/>
          <w:sz w:val="24"/>
          <w:szCs w:val="24"/>
        </w:rPr>
        <w:t>2. Gli imputati, tramite i loro difensori hanno proposto ricorso per cassazione chiedendo l'annullamento della sentenza lamentando violazione di legge e mancanza e manifesta illogicità della motivazione, per l'erronea applicazione dell'art. 256 dlgs n. 152 del 2006 e la mancata applicazione dell'art. 15 c.p., in relazione all'art. 8 legge</w:t>
      </w:r>
      <w:r w:rsidR="00223AA4">
        <w:rPr>
          <w:rFonts w:ascii="Times New Roman" w:hAnsi="Times New Roman" w:cs="Times New Roman"/>
          <w:sz w:val="24"/>
          <w:szCs w:val="24"/>
        </w:rPr>
        <w:t xml:space="preserve"> n. 574 del 1996: infatti l'Olei</w:t>
      </w:r>
      <w:r w:rsidRPr="003C6430">
        <w:rPr>
          <w:rFonts w:ascii="Times New Roman" w:hAnsi="Times New Roman" w:cs="Times New Roman"/>
          <w:sz w:val="24"/>
          <w:szCs w:val="24"/>
        </w:rPr>
        <w:t xml:space="preserve">ficio </w:t>
      </w:r>
      <w:r w:rsidR="00223AA4">
        <w:rPr>
          <w:rFonts w:ascii="Times New Roman" w:hAnsi="Times New Roman" w:cs="Times New Roman"/>
          <w:sz w:val="24"/>
          <w:szCs w:val="24"/>
        </w:rPr>
        <w:t>S. M.</w:t>
      </w:r>
      <w:r w:rsidRPr="003C6430">
        <w:rPr>
          <w:rFonts w:ascii="Times New Roman" w:hAnsi="Times New Roman" w:cs="Times New Roman"/>
          <w:sz w:val="24"/>
          <w:szCs w:val="24"/>
        </w:rPr>
        <w:t xml:space="preserve">, tramite il proprio rappresentante legale </w:t>
      </w:r>
      <w:r w:rsidR="00223AA4">
        <w:rPr>
          <w:rFonts w:ascii="Times New Roman" w:hAnsi="Times New Roman" w:cs="Times New Roman"/>
          <w:sz w:val="24"/>
          <w:szCs w:val="24"/>
        </w:rPr>
        <w:t>P.</w:t>
      </w:r>
      <w:r w:rsidRPr="003C6430">
        <w:rPr>
          <w:rFonts w:ascii="Times New Roman" w:hAnsi="Times New Roman" w:cs="Times New Roman"/>
          <w:sz w:val="24"/>
          <w:szCs w:val="24"/>
        </w:rPr>
        <w:t>, aveva presentato al Comune di Ruffano la comunicazione preventiva del</w:t>
      </w:r>
      <w:r w:rsidR="0036214C">
        <w:rPr>
          <w:rFonts w:ascii="Times New Roman" w:hAnsi="Times New Roman" w:cs="Times New Roman"/>
          <w:sz w:val="24"/>
          <w:szCs w:val="24"/>
        </w:rPr>
        <w:t>l'avvio dell'attività di spandi</w:t>
      </w:r>
      <w:r w:rsidRPr="003C6430">
        <w:rPr>
          <w:rFonts w:ascii="Times New Roman" w:hAnsi="Times New Roman" w:cs="Times New Roman"/>
          <w:sz w:val="24"/>
          <w:szCs w:val="24"/>
        </w:rPr>
        <w:t xml:space="preserve">mento delle acque di vegetazione provenienti dal frantoio ai sensi dell'art. 3 della legge n. 574 del 1996 su terreni agricoli che il </w:t>
      </w:r>
      <w:r w:rsidR="00223AA4">
        <w:rPr>
          <w:rFonts w:ascii="Times New Roman" w:hAnsi="Times New Roman" w:cs="Times New Roman"/>
          <w:sz w:val="24"/>
          <w:szCs w:val="24"/>
        </w:rPr>
        <w:t>P.</w:t>
      </w:r>
      <w:r w:rsidRPr="003C6430">
        <w:rPr>
          <w:rFonts w:ascii="Times New Roman" w:hAnsi="Times New Roman" w:cs="Times New Roman"/>
          <w:sz w:val="24"/>
          <w:szCs w:val="24"/>
        </w:rPr>
        <w:t xml:space="preserve"> aveva preso in affitto, con atto notarile registrato il 23 novembre 2008; pertanto l'Oleificio era autorizzato ad utilizzare a fini agricoli le acque di vegetazione e non può essere configurato il reato di cui all'art.</w:t>
      </w:r>
      <w:r w:rsidR="00223AA4">
        <w:rPr>
          <w:rFonts w:ascii="Times New Roman" w:hAnsi="Times New Roman" w:cs="Times New Roman"/>
          <w:sz w:val="24"/>
          <w:szCs w:val="24"/>
        </w:rPr>
        <w:t xml:space="preserve"> 256 D</w:t>
      </w:r>
      <w:r w:rsidRPr="003C6430">
        <w:rPr>
          <w:rFonts w:ascii="Times New Roman" w:hAnsi="Times New Roman" w:cs="Times New Roman"/>
          <w:sz w:val="24"/>
          <w:szCs w:val="24"/>
        </w:rPr>
        <w:t>.</w:t>
      </w:r>
      <w:r w:rsidR="00223AA4">
        <w:rPr>
          <w:rFonts w:ascii="Times New Roman" w:hAnsi="Times New Roman" w:cs="Times New Roman"/>
          <w:sz w:val="24"/>
          <w:szCs w:val="24"/>
        </w:rPr>
        <w:t xml:space="preserve"> </w:t>
      </w:r>
      <w:r w:rsidRPr="003C6430">
        <w:rPr>
          <w:rFonts w:ascii="Times New Roman" w:hAnsi="Times New Roman" w:cs="Times New Roman"/>
          <w:sz w:val="24"/>
          <w:szCs w:val="24"/>
        </w:rPr>
        <w:t>lgs n. 152 del 2006, ma l'illecito amministrativo previsto dall'art. 8 comma 2 della legge 1996, normativa applicabile quando si proceda allo spandimento di acque di vegetazione</w:t>
      </w:r>
      <w:r w:rsidR="00223AA4">
        <w:rPr>
          <w:rFonts w:ascii="Times New Roman" w:hAnsi="Times New Roman" w:cs="Times New Roman"/>
          <w:sz w:val="24"/>
          <w:szCs w:val="24"/>
        </w:rPr>
        <w:t xml:space="preserve"> senza osservare le prescrizioni</w:t>
      </w:r>
      <w:r w:rsidRPr="003C6430">
        <w:rPr>
          <w:rFonts w:ascii="Times New Roman" w:hAnsi="Times New Roman" w:cs="Times New Roman"/>
          <w:sz w:val="24"/>
          <w:szCs w:val="24"/>
        </w:rPr>
        <w:t xml:space="preserve"> imposte dall'art. 4, comma 2 della legge n. 574 del 1996. </w:t>
      </w:r>
    </w:p>
    <w:p w:rsidR="003C6430" w:rsidRDefault="003C6430" w:rsidP="003C6430">
      <w:pPr>
        <w:spacing w:after="0"/>
        <w:jc w:val="both"/>
        <w:rPr>
          <w:rFonts w:ascii="Times New Roman" w:hAnsi="Times New Roman" w:cs="Times New Roman"/>
          <w:sz w:val="24"/>
          <w:szCs w:val="24"/>
        </w:rPr>
      </w:pPr>
      <w:r w:rsidRPr="003C6430">
        <w:rPr>
          <w:rFonts w:ascii="Times New Roman" w:hAnsi="Times New Roman" w:cs="Times New Roman"/>
          <w:sz w:val="24"/>
          <w:szCs w:val="24"/>
        </w:rPr>
        <w:t xml:space="preserve">Inoltre in relazione alla posizione del </w:t>
      </w:r>
      <w:r w:rsidR="00223AA4">
        <w:rPr>
          <w:rFonts w:ascii="Times New Roman" w:hAnsi="Times New Roman" w:cs="Times New Roman"/>
          <w:sz w:val="24"/>
          <w:szCs w:val="24"/>
        </w:rPr>
        <w:t>P.</w:t>
      </w:r>
      <w:r w:rsidRPr="003C6430">
        <w:rPr>
          <w:rFonts w:ascii="Times New Roman" w:hAnsi="Times New Roman" w:cs="Times New Roman"/>
          <w:sz w:val="24"/>
          <w:szCs w:val="24"/>
        </w:rPr>
        <w:t xml:space="preserve">, è stata censurata l'errata applicazione di legge ed il vizio motivazionale, quanto i giudici non avrebbero motivato la sua responsabilità penale, desunta in via indiziaria, posto che le acque di vegetazione della campagna olearia 2009/2010, nella quantità di Kg 6.540, erano regolarmente accompagnate da un documento di trasporto, e trasportate su un mezzo autorizzato, ragion per cui nessuna </w:t>
      </w:r>
      <w:r w:rsidRPr="00223AA4">
        <w:rPr>
          <w:rFonts w:ascii="Times New Roman" w:hAnsi="Times New Roman" w:cs="Times New Roman"/>
          <w:i/>
          <w:sz w:val="24"/>
          <w:szCs w:val="24"/>
        </w:rPr>
        <w:t>culpa in vigilando</w:t>
      </w:r>
      <w:r w:rsidRPr="003C6430">
        <w:rPr>
          <w:rFonts w:ascii="Times New Roman" w:hAnsi="Times New Roman" w:cs="Times New Roman"/>
          <w:sz w:val="24"/>
          <w:szCs w:val="24"/>
        </w:rPr>
        <w:t xml:space="preserve"> può essere addebitata allo stesso quanto alle modalità non tecnicamente corrette con le quali il versamento sul terreno fu eseguito ad opera del </w:t>
      </w:r>
      <w:r w:rsidR="004B0C8D">
        <w:rPr>
          <w:rFonts w:ascii="Times New Roman" w:hAnsi="Times New Roman" w:cs="Times New Roman"/>
          <w:sz w:val="24"/>
          <w:szCs w:val="24"/>
        </w:rPr>
        <w:t>T.</w:t>
      </w:r>
      <w:r w:rsidRPr="003C6430">
        <w:rPr>
          <w:rFonts w:ascii="Times New Roman" w:hAnsi="Times New Roman" w:cs="Times New Roman"/>
          <w:sz w:val="24"/>
          <w:szCs w:val="24"/>
        </w:rPr>
        <w:t xml:space="preserve">, per una sua autonoma e non prevedibile azione. </w:t>
      </w:r>
    </w:p>
    <w:p w:rsidR="003C6430" w:rsidRPr="003C6430" w:rsidRDefault="003C6430" w:rsidP="003C6430">
      <w:pPr>
        <w:spacing w:after="0"/>
        <w:jc w:val="both"/>
        <w:rPr>
          <w:rFonts w:ascii="Times New Roman" w:hAnsi="Times New Roman" w:cs="Times New Roman"/>
          <w:sz w:val="24"/>
          <w:szCs w:val="24"/>
        </w:rPr>
      </w:pPr>
    </w:p>
    <w:p w:rsidR="003C6430" w:rsidRPr="003C6430" w:rsidRDefault="003C6430" w:rsidP="003C6430">
      <w:pPr>
        <w:spacing w:after="0"/>
        <w:jc w:val="both"/>
        <w:rPr>
          <w:rFonts w:ascii="Times New Roman" w:hAnsi="Times New Roman" w:cs="Times New Roman"/>
          <w:sz w:val="24"/>
          <w:szCs w:val="24"/>
        </w:rPr>
      </w:pPr>
      <w:r>
        <w:rPr>
          <w:rFonts w:ascii="Times New Roman" w:hAnsi="Times New Roman" w:cs="Times New Roman"/>
          <w:sz w:val="24"/>
          <w:szCs w:val="24"/>
        </w:rPr>
        <w:t>C</w:t>
      </w:r>
      <w:r w:rsidRPr="003C6430">
        <w:rPr>
          <w:rFonts w:ascii="Times New Roman" w:hAnsi="Times New Roman" w:cs="Times New Roman"/>
          <w:sz w:val="24"/>
          <w:szCs w:val="24"/>
        </w:rPr>
        <w:t xml:space="preserve">onsiderato in diritto </w:t>
      </w:r>
    </w:p>
    <w:p w:rsidR="003C6430" w:rsidRPr="003C6430" w:rsidRDefault="003C6430" w:rsidP="003C6430">
      <w:pPr>
        <w:spacing w:after="0"/>
        <w:jc w:val="both"/>
        <w:rPr>
          <w:rFonts w:ascii="Times New Roman" w:hAnsi="Times New Roman" w:cs="Times New Roman"/>
          <w:sz w:val="24"/>
          <w:szCs w:val="24"/>
        </w:rPr>
      </w:pPr>
      <w:r w:rsidRPr="003C6430">
        <w:rPr>
          <w:rFonts w:ascii="Times New Roman" w:hAnsi="Times New Roman" w:cs="Times New Roman"/>
          <w:sz w:val="24"/>
          <w:szCs w:val="24"/>
        </w:rPr>
        <w:t xml:space="preserve">1. I motivi di ricorso non sono fondati. </w:t>
      </w:r>
    </w:p>
    <w:p w:rsidR="003C6430" w:rsidRDefault="003C6430" w:rsidP="003C6430">
      <w:pPr>
        <w:spacing w:after="0"/>
        <w:jc w:val="both"/>
        <w:rPr>
          <w:rFonts w:ascii="Times New Roman" w:hAnsi="Times New Roman" w:cs="Times New Roman"/>
          <w:sz w:val="24"/>
          <w:szCs w:val="24"/>
        </w:rPr>
      </w:pPr>
      <w:r w:rsidRPr="003C6430">
        <w:rPr>
          <w:rFonts w:ascii="Times New Roman" w:hAnsi="Times New Roman" w:cs="Times New Roman"/>
          <w:sz w:val="24"/>
          <w:szCs w:val="24"/>
        </w:rPr>
        <w:t xml:space="preserve">La giurisprudenza ha affermato il principio che il reato di scarico di acque reflue industriali in difetto di autorizzazione viene integrato quando l'utilizzazione delle acque di vegetazione dei frantoi avviene al di fuori dei casi e delle procedure previste dalla legge (in tal senso Sez.3, n. 44293 del 7/11/2007, Condina, Rv. 238076). </w:t>
      </w:r>
    </w:p>
    <w:p w:rsidR="003C6430" w:rsidRPr="003C6430" w:rsidRDefault="003C6430" w:rsidP="003C6430">
      <w:pPr>
        <w:spacing w:after="0"/>
        <w:jc w:val="both"/>
        <w:rPr>
          <w:rFonts w:ascii="Times New Roman" w:hAnsi="Times New Roman" w:cs="Times New Roman"/>
          <w:sz w:val="24"/>
          <w:szCs w:val="24"/>
        </w:rPr>
      </w:pPr>
      <w:r w:rsidRPr="003C6430">
        <w:rPr>
          <w:rFonts w:ascii="Times New Roman" w:hAnsi="Times New Roman" w:cs="Times New Roman"/>
          <w:sz w:val="24"/>
          <w:szCs w:val="24"/>
        </w:rPr>
        <w:lastRenderedPageBreak/>
        <w:t xml:space="preserve">Per quanto attiene invece alla materia della fertirrigazione, ossia di utilizzazione agronomica delle acque di vegetazione e degli scarichi dei frantoi oleari di cui alla legge 11 novembre 1996 n. 574, la giurisprudenza di legittimità ha affermato il principio che tale normativa è applicabile solo ai frantoi "che operano in stretta connessione con l'azienda agricola e che trattano in massima parte quanto prodotto dalla stessa, atteso che solo in questo caso i quantitativi di acque ottenute dalla lavorazione risultano contenuti in limiti di tollerabilità dei terreni ove vengono distribuite" (cfr. Sez.3, n.20452 del 2773/2007, Di Lucia e altro, Rv. 236742). </w:t>
      </w:r>
    </w:p>
    <w:p w:rsidR="003C6430" w:rsidRPr="003C6430" w:rsidRDefault="003C6430" w:rsidP="003C6430">
      <w:pPr>
        <w:spacing w:after="0"/>
        <w:jc w:val="both"/>
        <w:rPr>
          <w:rFonts w:ascii="Times New Roman" w:hAnsi="Times New Roman" w:cs="Times New Roman"/>
          <w:sz w:val="24"/>
          <w:szCs w:val="24"/>
        </w:rPr>
      </w:pPr>
      <w:r>
        <w:rPr>
          <w:rFonts w:ascii="Times New Roman" w:hAnsi="Times New Roman" w:cs="Times New Roman"/>
          <w:sz w:val="24"/>
          <w:szCs w:val="24"/>
        </w:rPr>
        <w:t xml:space="preserve">2. </w:t>
      </w:r>
      <w:r w:rsidRPr="003C6430">
        <w:rPr>
          <w:rFonts w:ascii="Times New Roman" w:hAnsi="Times New Roman" w:cs="Times New Roman"/>
          <w:sz w:val="24"/>
          <w:szCs w:val="24"/>
        </w:rPr>
        <w:t>Nel caso di specie, il giudice di merito, con motivazione congrua ed immune da vizi logici, ha spiegato che non era in atto alcuna fertirrigazione attivata secondo le procedure di legge, per cui non era applicabile la disciplina prevista in via specifica: infatti gli imputati, pur essendo il frantoio munito di un'autorizzazione finalizzata al riutilizzo delle acque di vegetazione ottenute con la molitura delle olive, avevano posto in essere un'attività di mero scarico di tale prodotto nel terreno condotto in affitto, con modalità non conformi a legge; pertanto il prodotto sversato andava considerato rifiuto liquido illecitamente scaricato ed abbandonato. Nella motivazione è stato dato conto, sulla base delle risultanze processuali, del fatto che la suddetta attività era eseguita versando sul terreno le acque provenienti dalla molitura, attraverso due tubi collegati alla cisterna dell'autocarro, senza alcuna predisposizione di un sistema di fertirrigazione per il loro spandimento nel terreno destinatario di tale versamento "occasionale" e nessun altro risultato se non uno stagnamento acquitrinoso e ruscellamento sulla superficie erbosa, in quanto le acque non venivano assorbite dal suolo. Mancava insomma quel necessario sistema di stabile collettamento tra il luogo di produzione delle acque ed il luogo in cui le stesse si riversavano sul fondo, necessario ad inquadrare l'ipotesi nell'ambito della normativa in tema fertirrigazione. Pertanto, la responsabilità dell'imputato è stata affermata in conformità a quanto precisato dalla giurisprudenza di legittimità (in tal senso Sez. 3, n. 11593 del 22/02/2012, Alesi, Rv. 252347), secondo la quale, integra il reato previsto dall'art. 256, comma secondo, del D. Lgs. 3</w:t>
      </w:r>
      <w:r w:rsidR="004B0C8D">
        <w:rPr>
          <w:rFonts w:ascii="Times New Roman" w:hAnsi="Times New Roman" w:cs="Times New Roman"/>
          <w:sz w:val="24"/>
          <w:szCs w:val="24"/>
        </w:rPr>
        <w:t xml:space="preserve"> aprile 2006, n. 152, lo smalti</w:t>
      </w:r>
      <w:r w:rsidRPr="003C6430">
        <w:rPr>
          <w:rFonts w:ascii="Times New Roman" w:hAnsi="Times New Roman" w:cs="Times New Roman"/>
          <w:sz w:val="24"/>
          <w:szCs w:val="24"/>
        </w:rPr>
        <w:t>mento, lo spandimento o l'abbandono incontrollati delle acque p</w:t>
      </w:r>
      <w:r w:rsidR="004B0C8D">
        <w:rPr>
          <w:rFonts w:ascii="Times New Roman" w:hAnsi="Times New Roman" w:cs="Times New Roman"/>
          <w:sz w:val="24"/>
          <w:szCs w:val="24"/>
        </w:rPr>
        <w:t>rovenienti da un frantoio oleario</w:t>
      </w:r>
      <w:r w:rsidRPr="003C6430">
        <w:rPr>
          <w:rFonts w:ascii="Times New Roman" w:hAnsi="Times New Roman" w:cs="Times New Roman"/>
          <w:sz w:val="24"/>
          <w:szCs w:val="24"/>
        </w:rPr>
        <w:t xml:space="preserve">, potendosi applicare la disciplina prevista dalla legge 11 novembre 1996, n. 574 </w:t>
      </w:r>
      <w:r w:rsidR="004B0C8D">
        <w:rPr>
          <w:rFonts w:ascii="Times New Roman" w:hAnsi="Times New Roman" w:cs="Times New Roman"/>
          <w:sz w:val="24"/>
          <w:szCs w:val="24"/>
        </w:rPr>
        <w:t>soltanto laddove i reflui oleari</w:t>
      </w:r>
      <w:r w:rsidRPr="003C6430">
        <w:rPr>
          <w:rFonts w:ascii="Times New Roman" w:hAnsi="Times New Roman" w:cs="Times New Roman"/>
          <w:sz w:val="24"/>
          <w:szCs w:val="24"/>
        </w:rPr>
        <w:t xml:space="preserve"> vengono impiegati a fini agricoli. </w:t>
      </w:r>
    </w:p>
    <w:p w:rsidR="003C6430" w:rsidRDefault="003C6430" w:rsidP="003C6430">
      <w:pPr>
        <w:spacing w:after="0"/>
        <w:jc w:val="both"/>
        <w:rPr>
          <w:rFonts w:ascii="Times New Roman" w:hAnsi="Times New Roman" w:cs="Times New Roman"/>
          <w:sz w:val="24"/>
          <w:szCs w:val="24"/>
        </w:rPr>
      </w:pPr>
      <w:r>
        <w:rPr>
          <w:rFonts w:ascii="Times New Roman" w:hAnsi="Times New Roman" w:cs="Times New Roman"/>
          <w:sz w:val="24"/>
          <w:szCs w:val="24"/>
        </w:rPr>
        <w:t xml:space="preserve">3. </w:t>
      </w:r>
      <w:r w:rsidRPr="003C6430">
        <w:rPr>
          <w:rFonts w:ascii="Times New Roman" w:hAnsi="Times New Roman" w:cs="Times New Roman"/>
          <w:sz w:val="24"/>
          <w:szCs w:val="24"/>
        </w:rPr>
        <w:t xml:space="preserve">La censura avanzata in riferimento alla sola posizione del </w:t>
      </w:r>
      <w:r w:rsidR="00223AA4">
        <w:rPr>
          <w:rFonts w:ascii="Times New Roman" w:hAnsi="Times New Roman" w:cs="Times New Roman"/>
          <w:sz w:val="24"/>
          <w:szCs w:val="24"/>
        </w:rPr>
        <w:t>P.</w:t>
      </w:r>
      <w:r w:rsidRPr="003C6430">
        <w:rPr>
          <w:rFonts w:ascii="Times New Roman" w:hAnsi="Times New Roman" w:cs="Times New Roman"/>
          <w:sz w:val="24"/>
          <w:szCs w:val="24"/>
        </w:rPr>
        <w:t xml:space="preserve"> è parimenti infondata. La sentenza impugnata ha fornito congrua motivazione della responsabilità ascrivibile al legale rappresentante, il quale aveva del resto stipulato contratto di affitto del terreno ove "scaricare", richiamando l'orientamento giurisprudenziale che fa carico a tutti i soggetti coinvolti nella produzione di beni dai quali possano derivare rifiuti -</w:t>
      </w:r>
      <w:r w:rsidR="004B0C8D">
        <w:rPr>
          <w:rFonts w:ascii="Times New Roman" w:hAnsi="Times New Roman" w:cs="Times New Roman"/>
          <w:sz w:val="24"/>
          <w:szCs w:val="24"/>
        </w:rPr>
        <w:t xml:space="preserve"> </w:t>
      </w:r>
      <w:r w:rsidRPr="003C6430">
        <w:rPr>
          <w:rFonts w:ascii="Times New Roman" w:hAnsi="Times New Roman" w:cs="Times New Roman"/>
          <w:sz w:val="24"/>
          <w:szCs w:val="24"/>
        </w:rPr>
        <w:t>titolari ma anche meri dipendenti -</w:t>
      </w:r>
      <w:r w:rsidR="004B0C8D">
        <w:rPr>
          <w:rFonts w:ascii="Times New Roman" w:hAnsi="Times New Roman" w:cs="Times New Roman"/>
          <w:sz w:val="24"/>
          <w:szCs w:val="24"/>
        </w:rPr>
        <w:t xml:space="preserve"> </w:t>
      </w:r>
      <w:r w:rsidRPr="003C6430">
        <w:rPr>
          <w:rFonts w:ascii="Times New Roman" w:hAnsi="Times New Roman" w:cs="Times New Roman"/>
          <w:sz w:val="24"/>
          <w:szCs w:val="24"/>
        </w:rPr>
        <w:t>dell'obbligo di porre in essere</w:t>
      </w:r>
      <w:r w:rsidR="004B0C8D">
        <w:rPr>
          <w:rFonts w:ascii="Times New Roman" w:hAnsi="Times New Roman" w:cs="Times New Roman"/>
          <w:sz w:val="24"/>
          <w:szCs w:val="24"/>
        </w:rPr>
        <w:t xml:space="preserve"> le modalità di corretto smalti</w:t>
      </w:r>
      <w:r w:rsidRPr="003C6430">
        <w:rPr>
          <w:rFonts w:ascii="Times New Roman" w:hAnsi="Times New Roman" w:cs="Times New Roman"/>
          <w:sz w:val="24"/>
          <w:szCs w:val="24"/>
        </w:rPr>
        <w:t xml:space="preserve">mento degli stessi (cfr. Sez. 3, n. 11490 del 15/12/2010, dep. 22/3/2011, Fabbriconi, Rv. 249770) e di vigilare, qualora ricoprano incarichi di responsabilità, sull'operato dei sottoposti (in tal senso, Sez. 3, n. 14285 del 10/3/2005, dep. 18/4/2005, Brizzi, Rv. 231081). </w:t>
      </w:r>
    </w:p>
    <w:p w:rsidR="003C6430" w:rsidRPr="003C6430" w:rsidRDefault="003C6430" w:rsidP="003C6430">
      <w:pPr>
        <w:spacing w:after="0"/>
        <w:jc w:val="both"/>
        <w:rPr>
          <w:rFonts w:ascii="Times New Roman" w:hAnsi="Times New Roman" w:cs="Times New Roman"/>
          <w:sz w:val="24"/>
          <w:szCs w:val="24"/>
        </w:rPr>
      </w:pPr>
      <w:r>
        <w:rPr>
          <w:rFonts w:ascii="Times New Roman" w:hAnsi="Times New Roman" w:cs="Times New Roman"/>
          <w:sz w:val="24"/>
          <w:szCs w:val="24"/>
        </w:rPr>
        <w:t>La sentenza i</w:t>
      </w:r>
      <w:r w:rsidRPr="003C6430">
        <w:rPr>
          <w:rFonts w:ascii="Times New Roman" w:hAnsi="Times New Roman" w:cs="Times New Roman"/>
          <w:sz w:val="24"/>
          <w:szCs w:val="24"/>
        </w:rPr>
        <w:t>mpugnata è pertanto immune da censure, avendo applicato corret</w:t>
      </w:r>
      <w:r w:rsidR="004B0C8D">
        <w:rPr>
          <w:rFonts w:ascii="Times New Roman" w:hAnsi="Times New Roman" w:cs="Times New Roman"/>
          <w:sz w:val="24"/>
          <w:szCs w:val="24"/>
        </w:rPr>
        <w:t>tamente la disciplina normativa</w:t>
      </w:r>
      <w:r w:rsidRPr="003C6430">
        <w:rPr>
          <w:rFonts w:ascii="Times New Roman" w:hAnsi="Times New Roman" w:cs="Times New Roman"/>
          <w:sz w:val="24"/>
          <w:szCs w:val="24"/>
        </w:rPr>
        <w:t xml:space="preserve">; il ricorso deve pertanto essere rigettato e i ricorrenti devono deve essere condannati, ai sensi del disposto di cui all'art. 616 c.p.p., al pagamento delle spese processuali. </w:t>
      </w:r>
    </w:p>
    <w:p w:rsidR="00DE475C" w:rsidRPr="003C6430" w:rsidRDefault="00DE475C" w:rsidP="003C6430">
      <w:pPr>
        <w:spacing w:after="0"/>
        <w:jc w:val="both"/>
        <w:rPr>
          <w:rFonts w:ascii="Times New Roman" w:hAnsi="Times New Roman" w:cs="Times New Roman"/>
          <w:sz w:val="24"/>
          <w:szCs w:val="24"/>
        </w:rPr>
      </w:pPr>
    </w:p>
    <w:sectPr w:rsidR="00DE475C" w:rsidRPr="003C6430" w:rsidSect="000E643A">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6430"/>
    <w:rsid w:val="000E643A"/>
    <w:rsid w:val="00223AA4"/>
    <w:rsid w:val="002977F1"/>
    <w:rsid w:val="0036214C"/>
    <w:rsid w:val="003A2C08"/>
    <w:rsid w:val="003C6430"/>
    <w:rsid w:val="004B0C8D"/>
    <w:rsid w:val="005257E8"/>
    <w:rsid w:val="00C1117C"/>
    <w:rsid w:val="00CB686B"/>
    <w:rsid w:val="00DE475C"/>
    <w:rsid w:val="00F153EF"/>
    <w:rsid w:val="00F7399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73996"/>
    <w:rPr>
      <w:noProo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73996"/>
    <w:rPr>
      <w:noProo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1097</Words>
  <Characters>6257</Characters>
  <Application>Microsoft Office Word</Application>
  <DocSecurity>0</DocSecurity>
  <Lines>52</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7340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Novella</dc:creator>
  <cp:lastModifiedBy>Alessandro Fummi</cp:lastModifiedBy>
  <cp:revision>2</cp:revision>
  <cp:lastPrinted>2013-05-21T14:21:00Z</cp:lastPrinted>
  <dcterms:created xsi:type="dcterms:W3CDTF">2013-05-22T07:26:00Z</dcterms:created>
  <dcterms:modified xsi:type="dcterms:W3CDTF">2013-05-22T07:26:00Z</dcterms:modified>
</cp:coreProperties>
</file>