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1893" w:rsidRPr="00291893" w:rsidRDefault="00291893" w:rsidP="00CE0D95">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w:t>
      </w:r>
      <w:r w:rsidRPr="00BC492F">
        <w:rPr>
          <w:rFonts w:ascii="Times New Roman" w:hAnsi="Times New Roman" w:cs="Times New Roman"/>
          <w:b/>
          <w:sz w:val="24"/>
          <w:szCs w:val="24"/>
        </w:rPr>
        <w:t xml:space="preserve">III </w:t>
      </w:r>
      <w:proofErr w:type="gramStart"/>
      <w:r w:rsidRPr="00BC492F">
        <w:rPr>
          <w:rFonts w:ascii="Times New Roman" w:hAnsi="Times New Roman" w:cs="Times New Roman"/>
          <w:b/>
          <w:sz w:val="24"/>
          <w:szCs w:val="24"/>
        </w:rPr>
        <w:t>Pen.</w:t>
      </w:r>
      <w:r w:rsidR="00015389" w:rsidRPr="00BC492F">
        <w:rPr>
          <w:rFonts w:ascii="Times New Roman" w:hAnsi="Times New Roman" w:cs="Times New Roman"/>
          <w:b/>
          <w:sz w:val="24"/>
          <w:szCs w:val="24"/>
        </w:rPr>
        <w:t>,</w:t>
      </w:r>
      <w:proofErr w:type="gramEnd"/>
      <w:r w:rsidRPr="00BC492F">
        <w:rPr>
          <w:rFonts w:ascii="Times New Roman" w:hAnsi="Times New Roman" w:cs="Times New Roman"/>
          <w:b/>
          <w:sz w:val="24"/>
          <w:szCs w:val="24"/>
        </w:rPr>
        <w:t xml:space="preserve"> n. 16</w:t>
      </w:r>
      <w:r w:rsidR="00BC492F" w:rsidRPr="00BC492F">
        <w:rPr>
          <w:rFonts w:ascii="Times New Roman" w:hAnsi="Times New Roman" w:cs="Times New Roman"/>
          <w:b/>
          <w:sz w:val="24"/>
          <w:szCs w:val="24"/>
        </w:rPr>
        <w:t>200</w:t>
      </w:r>
      <w:r w:rsidRPr="00BC492F">
        <w:rPr>
          <w:rFonts w:ascii="Times New Roman" w:hAnsi="Times New Roman" w:cs="Times New Roman"/>
          <w:b/>
          <w:sz w:val="24"/>
          <w:szCs w:val="24"/>
        </w:rPr>
        <w:t xml:space="preserve"> del </w:t>
      </w:r>
      <w:r w:rsidR="00015389" w:rsidRPr="00BC492F">
        <w:rPr>
          <w:rFonts w:ascii="Times New Roman" w:hAnsi="Times New Roman" w:cs="Times New Roman"/>
          <w:b/>
          <w:sz w:val="24"/>
          <w:szCs w:val="24"/>
        </w:rPr>
        <w:t>1</w:t>
      </w:r>
      <w:r w:rsidR="00BC492F" w:rsidRPr="00BC492F">
        <w:rPr>
          <w:rFonts w:ascii="Times New Roman" w:hAnsi="Times New Roman" w:cs="Times New Roman"/>
          <w:b/>
          <w:sz w:val="24"/>
          <w:szCs w:val="24"/>
        </w:rPr>
        <w:t>4</w:t>
      </w:r>
      <w:r w:rsidR="00015389" w:rsidRPr="00BC492F">
        <w:rPr>
          <w:rFonts w:ascii="Times New Roman" w:hAnsi="Times New Roman" w:cs="Times New Roman"/>
          <w:b/>
          <w:sz w:val="24"/>
          <w:szCs w:val="24"/>
        </w:rPr>
        <w:t>/04/</w:t>
      </w:r>
      <w:r w:rsidR="00BC492F" w:rsidRPr="00BC492F">
        <w:rPr>
          <w:rFonts w:ascii="Times New Roman" w:hAnsi="Times New Roman" w:cs="Times New Roman"/>
          <w:b/>
          <w:sz w:val="24"/>
          <w:szCs w:val="24"/>
        </w:rPr>
        <w:t xml:space="preserve">2014 – </w:t>
      </w:r>
      <w:proofErr w:type="spellStart"/>
      <w:r w:rsidR="00BC492F" w:rsidRPr="00BC492F">
        <w:rPr>
          <w:rFonts w:ascii="Times New Roman" w:hAnsi="Times New Roman" w:cs="Times New Roman"/>
          <w:b/>
          <w:sz w:val="24"/>
          <w:szCs w:val="24"/>
        </w:rPr>
        <w:t>Pres</w:t>
      </w:r>
      <w:proofErr w:type="spellEnd"/>
      <w:r w:rsidR="00BC492F" w:rsidRPr="00BC492F">
        <w:rPr>
          <w:rFonts w:ascii="Times New Roman" w:hAnsi="Times New Roman" w:cs="Times New Roman"/>
          <w:b/>
          <w:sz w:val="24"/>
          <w:szCs w:val="24"/>
        </w:rPr>
        <w:t xml:space="preserve">. </w:t>
      </w:r>
      <w:proofErr w:type="spellStart"/>
      <w:r w:rsidR="00BC492F" w:rsidRPr="00BC492F">
        <w:rPr>
          <w:rFonts w:ascii="Times New Roman" w:hAnsi="Times New Roman" w:cs="Times New Roman"/>
          <w:b/>
          <w:sz w:val="24"/>
          <w:szCs w:val="24"/>
        </w:rPr>
        <w:t>Squassoni</w:t>
      </w:r>
      <w:proofErr w:type="spellEnd"/>
      <w:r w:rsidR="00015389" w:rsidRPr="00BC492F">
        <w:rPr>
          <w:rFonts w:ascii="Times New Roman" w:hAnsi="Times New Roman" w:cs="Times New Roman"/>
          <w:b/>
          <w:sz w:val="24"/>
          <w:szCs w:val="24"/>
        </w:rPr>
        <w:t xml:space="preserve"> – Est. </w:t>
      </w:r>
      <w:r w:rsidR="00BC492F">
        <w:rPr>
          <w:rFonts w:ascii="Times New Roman" w:hAnsi="Times New Roman" w:cs="Times New Roman"/>
          <w:b/>
          <w:sz w:val="24"/>
          <w:szCs w:val="24"/>
        </w:rPr>
        <w:t>Ramacci</w:t>
      </w:r>
      <w:r w:rsidR="00015389">
        <w:rPr>
          <w:rFonts w:ascii="Times New Roman" w:hAnsi="Times New Roman" w:cs="Times New Roman"/>
          <w:b/>
          <w:sz w:val="24"/>
          <w:szCs w:val="24"/>
        </w:rPr>
        <w:t xml:space="preserve"> - Ric</w:t>
      </w:r>
      <w:r w:rsidR="00015389" w:rsidRPr="008F1C85">
        <w:rPr>
          <w:rFonts w:ascii="Times New Roman" w:hAnsi="Times New Roman" w:cs="Times New Roman"/>
          <w:b/>
          <w:sz w:val="24"/>
          <w:szCs w:val="24"/>
        </w:rPr>
        <w:t xml:space="preserve">. </w:t>
      </w:r>
      <w:r w:rsidR="00BC492F">
        <w:rPr>
          <w:rFonts w:ascii="Times New Roman" w:hAnsi="Times New Roman" w:cs="Times New Roman"/>
          <w:b/>
          <w:sz w:val="24"/>
          <w:szCs w:val="24"/>
        </w:rPr>
        <w:t>P.F.</w:t>
      </w:r>
    </w:p>
    <w:p w:rsidR="00291893" w:rsidRPr="00291893" w:rsidRDefault="00291893" w:rsidP="00CE0D95">
      <w:pPr>
        <w:spacing w:after="0" w:line="240" w:lineRule="auto"/>
        <w:jc w:val="both"/>
        <w:rPr>
          <w:rFonts w:ascii="Times New Roman" w:hAnsi="Times New Roman" w:cs="Times New Roman"/>
          <w:sz w:val="24"/>
          <w:szCs w:val="24"/>
        </w:rPr>
      </w:pPr>
    </w:p>
    <w:p w:rsidR="006A2AF2" w:rsidRDefault="009738A4" w:rsidP="00CE0D95">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RIFIUTI</w:t>
      </w:r>
      <w:r w:rsidR="00015389">
        <w:rPr>
          <w:rFonts w:ascii="Times New Roman" w:hAnsi="Times New Roman" w:cs="Times New Roman"/>
          <w:sz w:val="24"/>
          <w:szCs w:val="24"/>
        </w:rPr>
        <w:t xml:space="preserve"> </w:t>
      </w:r>
      <w:r w:rsidR="006A2AF2">
        <w:rPr>
          <w:rFonts w:ascii="Times New Roman" w:hAnsi="Times New Roman" w:cs="Times New Roman"/>
          <w:sz w:val="24"/>
          <w:szCs w:val="24"/>
        </w:rPr>
        <w:t>–</w:t>
      </w:r>
      <w:r w:rsidR="00BC492F">
        <w:rPr>
          <w:rFonts w:ascii="Times New Roman" w:hAnsi="Times New Roman" w:cs="Times New Roman"/>
          <w:sz w:val="24"/>
          <w:szCs w:val="24"/>
        </w:rPr>
        <w:t xml:space="preserve"> A quali condizioni il letame </w:t>
      </w:r>
      <w:bookmarkStart w:id="0" w:name="_GoBack"/>
      <w:bookmarkEnd w:id="0"/>
      <w:r w:rsidR="00BC492F">
        <w:rPr>
          <w:rFonts w:ascii="Times New Roman" w:hAnsi="Times New Roman" w:cs="Times New Roman"/>
          <w:sz w:val="24"/>
          <w:szCs w:val="24"/>
        </w:rPr>
        <w:t>è considerato rifiuto?</w:t>
      </w:r>
    </w:p>
    <w:p w:rsidR="00BC492F" w:rsidRDefault="00BC492F" w:rsidP="00CE0D95">
      <w:pPr>
        <w:spacing w:after="0" w:line="240" w:lineRule="auto"/>
        <w:jc w:val="both"/>
        <w:rPr>
          <w:rFonts w:ascii="Times New Roman" w:hAnsi="Times New Roman" w:cs="Times New Roman"/>
          <w:sz w:val="24"/>
          <w:szCs w:val="24"/>
        </w:rPr>
      </w:pPr>
    </w:p>
    <w:p w:rsidR="006A2AF2" w:rsidRPr="006A2AF2" w:rsidRDefault="00BC492F" w:rsidP="00CE0D95">
      <w:pPr>
        <w:spacing w:after="0" w:line="240" w:lineRule="auto"/>
        <w:jc w:val="both"/>
        <w:rPr>
          <w:rFonts w:ascii="Times New Roman" w:hAnsi="Times New Roman" w:cs="Times New Roman"/>
          <w:i/>
          <w:sz w:val="24"/>
          <w:szCs w:val="24"/>
        </w:rPr>
      </w:pPr>
      <w:r w:rsidRPr="00BC492F">
        <w:rPr>
          <w:rFonts w:ascii="Times New Roman" w:hAnsi="Times New Roman" w:cs="Times New Roman"/>
          <w:i/>
          <w:sz w:val="24"/>
          <w:szCs w:val="24"/>
        </w:rPr>
        <w:t>L'esclusione dalla disciplina dei rifiuti delle materie fecali opera a condizione che dette materie provengano da attività agricola e che siano riutilizzate nella stessa attività agricola. L'esclusione è applicabile solo al letame agricolo, poiché quello non agricolo è sicuramente un rifiuto e l'effettiva riutilizzazione nell'attività agricola deve essere dimostrata dall'interessato.</w:t>
      </w:r>
    </w:p>
    <w:p w:rsidR="006A2AF2" w:rsidRDefault="006A2AF2" w:rsidP="00CE0D95">
      <w:pPr>
        <w:spacing w:after="0" w:line="240" w:lineRule="auto"/>
        <w:jc w:val="both"/>
        <w:rPr>
          <w:rFonts w:ascii="Times New Roman" w:hAnsi="Times New Roman" w:cs="Times New Roman"/>
          <w:sz w:val="24"/>
          <w:szCs w:val="24"/>
        </w:rPr>
      </w:pPr>
    </w:p>
    <w:p w:rsidR="00291893" w:rsidRDefault="00291893" w:rsidP="00CE0D95">
      <w:pPr>
        <w:spacing w:after="0" w:line="240" w:lineRule="auto"/>
        <w:jc w:val="both"/>
        <w:rPr>
          <w:rFonts w:ascii="Times New Roman" w:hAnsi="Times New Roman" w:cs="Times New Roman"/>
          <w:b/>
          <w:sz w:val="24"/>
          <w:szCs w:val="24"/>
        </w:rPr>
      </w:pPr>
      <w:r w:rsidRPr="00015389">
        <w:rPr>
          <w:rFonts w:ascii="Times New Roman" w:hAnsi="Times New Roman" w:cs="Times New Roman"/>
          <w:b/>
          <w:sz w:val="24"/>
          <w:szCs w:val="24"/>
        </w:rPr>
        <w:t>Ritenuto in fatto</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1. Il Tribunale di Arezzo, con ordinanza dell'</w:t>
      </w:r>
      <w:r>
        <w:rPr>
          <w:rFonts w:ascii="Times New Roman" w:hAnsi="Times New Roman" w:cs="Times New Roman"/>
          <w:sz w:val="24"/>
          <w:szCs w:val="24"/>
        </w:rPr>
        <w:t>11</w:t>
      </w:r>
      <w:r w:rsidRPr="00D20488">
        <w:rPr>
          <w:rFonts w:ascii="Times New Roman" w:hAnsi="Times New Roman" w:cs="Times New Roman"/>
          <w:sz w:val="24"/>
          <w:szCs w:val="24"/>
        </w:rPr>
        <w:t xml:space="preserve">.10.2013 ha respinto la richiesta di riesame avverso il decreto in data 21.9.2013 con il quale il Giudice per le indagini preliminari del medesimo Tribunale, respinta la richiesta di convalida di sequestro preventivo operato d'urgenza dalla polizia giudiziaria, aveva disposto la misura reale su una porzione di capannone, limitatamente ad una zona ove risultava depositato letame equino misto a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solido ed a letamaio adiacente, ipotizzandosi nei confronti di F</w:t>
      </w:r>
      <w:r>
        <w:rPr>
          <w:rFonts w:ascii="Times New Roman" w:hAnsi="Times New Roman" w:cs="Times New Roman"/>
          <w:sz w:val="24"/>
          <w:szCs w:val="24"/>
        </w:rPr>
        <w:t>.</w:t>
      </w:r>
      <w:r w:rsidRPr="00D20488">
        <w:rPr>
          <w:rFonts w:ascii="Times New Roman" w:hAnsi="Times New Roman" w:cs="Times New Roman"/>
          <w:sz w:val="24"/>
          <w:szCs w:val="24"/>
        </w:rPr>
        <w:t xml:space="preserve"> P</w:t>
      </w:r>
      <w:r>
        <w:rPr>
          <w:rFonts w:ascii="Times New Roman" w:hAnsi="Times New Roman" w:cs="Times New Roman"/>
          <w:sz w:val="24"/>
          <w:szCs w:val="24"/>
        </w:rPr>
        <w:t>.</w:t>
      </w:r>
      <w:r w:rsidRPr="00D20488">
        <w:rPr>
          <w:rFonts w:ascii="Times New Roman" w:hAnsi="Times New Roman" w:cs="Times New Roman"/>
          <w:sz w:val="24"/>
          <w:szCs w:val="24"/>
        </w:rPr>
        <w:t>, amministratore unico dell'Azienda Agricola «</w:t>
      </w:r>
      <w:r>
        <w:rPr>
          <w:rFonts w:ascii="Times New Roman" w:hAnsi="Times New Roman" w:cs="Times New Roman"/>
          <w:sz w:val="24"/>
          <w:szCs w:val="24"/>
        </w:rPr>
        <w:t>P.</w:t>
      </w:r>
      <w:r w:rsidRPr="00D20488">
        <w:rPr>
          <w:rFonts w:ascii="Times New Roman" w:hAnsi="Times New Roman" w:cs="Times New Roman"/>
          <w:sz w:val="24"/>
          <w:szCs w:val="24"/>
        </w:rPr>
        <w:t xml:space="preserve"> s</w:t>
      </w:r>
      <w:r>
        <w:rPr>
          <w:rFonts w:ascii="Times New Roman" w:hAnsi="Times New Roman" w:cs="Times New Roman"/>
          <w:sz w:val="24"/>
          <w:szCs w:val="24"/>
        </w:rPr>
        <w:t>.</w:t>
      </w:r>
      <w:r w:rsidRPr="00D20488">
        <w:rPr>
          <w:rFonts w:ascii="Times New Roman" w:hAnsi="Times New Roman" w:cs="Times New Roman"/>
          <w:sz w:val="24"/>
          <w:szCs w:val="24"/>
        </w:rPr>
        <w:t xml:space="preserve"> L</w:t>
      </w:r>
      <w:r>
        <w:rPr>
          <w:rFonts w:ascii="Times New Roman" w:hAnsi="Times New Roman" w:cs="Times New Roman"/>
          <w:sz w:val="24"/>
          <w:szCs w:val="24"/>
        </w:rPr>
        <w:t>.</w:t>
      </w:r>
      <w:r w:rsidRPr="00D20488">
        <w:rPr>
          <w:rFonts w:ascii="Times New Roman" w:hAnsi="Times New Roman" w:cs="Times New Roman"/>
          <w:sz w:val="24"/>
          <w:szCs w:val="24"/>
        </w:rPr>
        <w:t>», proprietaria dell'impianto per la produzione di biogas sito i</w:t>
      </w:r>
      <w:r w:rsidR="000378B0">
        <w:rPr>
          <w:rFonts w:ascii="Times New Roman" w:hAnsi="Times New Roman" w:cs="Times New Roman"/>
          <w:sz w:val="24"/>
          <w:szCs w:val="24"/>
        </w:rPr>
        <w:t>n</w:t>
      </w:r>
      <w:r w:rsidRPr="00D20488">
        <w:rPr>
          <w:rFonts w:ascii="Times New Roman" w:hAnsi="Times New Roman" w:cs="Times New Roman"/>
          <w:sz w:val="24"/>
          <w:szCs w:val="24"/>
        </w:rPr>
        <w:t xml:space="preserve"> località «</w:t>
      </w:r>
      <w:proofErr w:type="spellStart"/>
      <w:r w:rsidRPr="00D20488">
        <w:rPr>
          <w:rFonts w:ascii="Times New Roman" w:hAnsi="Times New Roman" w:cs="Times New Roman"/>
          <w:sz w:val="24"/>
          <w:szCs w:val="24"/>
        </w:rPr>
        <w:t>Serboli</w:t>
      </w:r>
      <w:proofErr w:type="spellEnd"/>
      <w:r w:rsidRPr="00D20488">
        <w:rPr>
          <w:rFonts w:ascii="Times New Roman" w:hAnsi="Times New Roman" w:cs="Times New Roman"/>
          <w:sz w:val="24"/>
          <w:szCs w:val="24"/>
        </w:rPr>
        <w:t>» del Comune di Subbiano, i reati di cui agli artt. 192, comma 1</w:t>
      </w:r>
      <w:r w:rsidR="000378B0">
        <w:rPr>
          <w:rFonts w:ascii="Times New Roman" w:hAnsi="Times New Roman" w:cs="Times New Roman"/>
          <w:sz w:val="24"/>
          <w:szCs w:val="24"/>
        </w:rPr>
        <w:t>,</w:t>
      </w:r>
      <w:r w:rsidRPr="00D20488">
        <w:rPr>
          <w:rFonts w:ascii="Times New Roman" w:hAnsi="Times New Roman" w:cs="Times New Roman"/>
          <w:sz w:val="24"/>
          <w:szCs w:val="24"/>
        </w:rPr>
        <w:t xml:space="preserve"> 208 e 256, comma l d.lgs. 152\06 per il deposito e la gestione in genere di rifiuti speciali in assenza del prescritto titolo abilitativo. </w:t>
      </w:r>
    </w:p>
    <w:p w:rsidR="000378B0"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Avverso tale pronuncia la predetta propone ricorso per cassazione tramite i propri difensori di fiducia.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2. Con un unico motivo di ricorso deduce la violazione di legge lamentando che il Tribunale avrebbe erroneamente ritenuto la natura di rifiuto del materiale sequestrato trattandosi, al contrario, di sostanze delle quali il detentore non intendeva disfarsi, essendo utilizzate per la produzione di biogas ed operando, in ogni caso, l'esclusione dal novero dei rifiuti ai sensi dell'art. 185 d.lgs. 152\06, che i giudici del riesame avrebbero erroneamente interpretato e rientrando inoltre detto materiale tra i sottoprodotti in quanto rispondente ai requisiti di cui all'art.184-bis del medesimo d.lgs. 152\06. </w:t>
      </w:r>
    </w:p>
    <w:p w:rsidR="00CE0D95"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Insiste, pertanto, per l'accoglimento del ricorso. </w:t>
      </w:r>
    </w:p>
    <w:p w:rsidR="00CE0D95" w:rsidRPr="00D20488" w:rsidRDefault="00CE0D95" w:rsidP="00CE0D95">
      <w:pPr>
        <w:spacing w:after="0" w:line="240" w:lineRule="auto"/>
        <w:jc w:val="both"/>
        <w:rPr>
          <w:rFonts w:ascii="Times New Roman" w:hAnsi="Times New Roman" w:cs="Times New Roman"/>
          <w:sz w:val="24"/>
          <w:szCs w:val="24"/>
        </w:rPr>
      </w:pPr>
    </w:p>
    <w:p w:rsidR="00CE0D95" w:rsidRPr="00CE0D95" w:rsidRDefault="00CE0D95" w:rsidP="00CE0D95">
      <w:pPr>
        <w:spacing w:after="0" w:line="240" w:lineRule="auto"/>
        <w:jc w:val="both"/>
        <w:rPr>
          <w:rFonts w:ascii="Times New Roman" w:hAnsi="Times New Roman" w:cs="Times New Roman"/>
          <w:b/>
          <w:sz w:val="24"/>
          <w:szCs w:val="24"/>
        </w:rPr>
      </w:pPr>
      <w:r w:rsidRPr="00CE0D95">
        <w:rPr>
          <w:rFonts w:ascii="Times New Roman" w:hAnsi="Times New Roman" w:cs="Times New Roman"/>
          <w:b/>
          <w:sz w:val="24"/>
          <w:szCs w:val="24"/>
        </w:rPr>
        <w:t xml:space="preserve">Considerato in diritto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3. Il ricorso è infondato.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Occorre preliminarmente ricordare che la cognizione di questa Corte è limitata ai contenuti del ricorso e del provvedimento impugnato, non essendo consentito l'accesso ad altri atti del procedimento o ai documenti versati dalle parti.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Tale situazione rende non particolarmente agevole, nella fattispecie, la corretta individuazione della condotta contestata e della tipologia delle sostanze della cui natura si discute, non avendo ritenuto i giudici del riesame di riportare integralmente l'incolpazione provvisoria ed essendosi soltanto incidentalmente accento, tanto in ricorso che nell'ordinanza impugnata, alla destinazione del materiale medesimo.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4. Sulla base di tali elementi può pertanto operarsi una sommaria ricostruzione della vicenda processuale nei termini di seguito specificati.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Risulta dal ricorso che la polizia giudiziaria, in data 9.9.2013, eseguiva un sequestro preventivo di iniziativa di una «</w:t>
      </w:r>
      <w:r w:rsidRPr="00CE0D95">
        <w:rPr>
          <w:rFonts w:ascii="Times New Roman" w:hAnsi="Times New Roman" w:cs="Times New Roman"/>
          <w:i/>
          <w:sz w:val="24"/>
          <w:szCs w:val="24"/>
        </w:rPr>
        <w:t xml:space="preserve">porzione di capannone all'interno del quale sono stoccati rifiuti speciali costituiti da 170 metri cubi circa di </w:t>
      </w:r>
      <w:proofErr w:type="spellStart"/>
      <w:r w:rsidRPr="00CE0D95">
        <w:rPr>
          <w:rFonts w:ascii="Times New Roman" w:hAnsi="Times New Roman" w:cs="Times New Roman"/>
          <w:i/>
          <w:sz w:val="24"/>
          <w:szCs w:val="24"/>
        </w:rPr>
        <w:t>digestato</w:t>
      </w:r>
      <w:proofErr w:type="spellEnd"/>
      <w:r w:rsidRPr="00CE0D95">
        <w:rPr>
          <w:rFonts w:ascii="Times New Roman" w:hAnsi="Times New Roman" w:cs="Times New Roman"/>
          <w:i/>
          <w:sz w:val="24"/>
          <w:szCs w:val="24"/>
        </w:rPr>
        <w:t xml:space="preserve"> solido proveniente dalla lavorazione dell'impianto a biogas oltre a 5 metri cubi di letame presumibilmente equino misto a </w:t>
      </w:r>
      <w:proofErr w:type="spellStart"/>
      <w:r w:rsidRPr="00CE0D95">
        <w:rPr>
          <w:rFonts w:ascii="Times New Roman" w:hAnsi="Times New Roman" w:cs="Times New Roman"/>
          <w:i/>
          <w:sz w:val="24"/>
          <w:szCs w:val="24"/>
        </w:rPr>
        <w:t>digestato</w:t>
      </w:r>
      <w:proofErr w:type="spellEnd"/>
      <w:r w:rsidRPr="00CE0D95">
        <w:rPr>
          <w:rFonts w:ascii="Times New Roman" w:hAnsi="Times New Roman" w:cs="Times New Roman"/>
          <w:i/>
          <w:sz w:val="24"/>
          <w:szCs w:val="24"/>
        </w:rPr>
        <w:t xml:space="preserve"> solido dai quali fuoriesce percolato filtrante nel nudo terreno circostante e di una </w:t>
      </w:r>
      <w:proofErr w:type="spellStart"/>
      <w:r w:rsidRPr="00CE0D95">
        <w:rPr>
          <w:rFonts w:ascii="Times New Roman" w:hAnsi="Times New Roman" w:cs="Times New Roman"/>
          <w:i/>
          <w:sz w:val="24"/>
          <w:szCs w:val="24"/>
        </w:rPr>
        <w:t>letamaia</w:t>
      </w:r>
      <w:proofErr w:type="spellEnd"/>
      <w:r w:rsidRPr="00CE0D95">
        <w:rPr>
          <w:rFonts w:ascii="Times New Roman" w:hAnsi="Times New Roman" w:cs="Times New Roman"/>
          <w:i/>
          <w:sz w:val="24"/>
          <w:szCs w:val="24"/>
        </w:rPr>
        <w:t xml:space="preserve"> adiacente … contenente circa 5 metri cubi di letame presumibilmente cunicolo e circa 10 metri cubi di letame equino</w:t>
      </w:r>
      <w:r w:rsidRPr="00D20488">
        <w:rPr>
          <w:rFonts w:ascii="Times New Roman" w:hAnsi="Times New Roman" w:cs="Times New Roman"/>
          <w:sz w:val="24"/>
          <w:szCs w:val="24"/>
        </w:rPr>
        <w:t xml:space="preserv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Tale descrizione è riportata esattamente in questi termini e tra virgolette nel testo del ricorso e riproduce, verosimilmente, il contenuto del verbale redatto dal personale di polizia intervenuto.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Nella stessa forma il ricorso indica l'oggetto del sequestro, che il G.I.P. risulta aver limita</w:t>
      </w:r>
      <w:r>
        <w:rPr>
          <w:rFonts w:ascii="Times New Roman" w:hAnsi="Times New Roman" w:cs="Times New Roman"/>
          <w:sz w:val="24"/>
          <w:szCs w:val="24"/>
        </w:rPr>
        <w:t>to alla porzione di capannone «..</w:t>
      </w:r>
      <w:r w:rsidRPr="00D20488">
        <w:rPr>
          <w:rFonts w:ascii="Times New Roman" w:hAnsi="Times New Roman" w:cs="Times New Roman"/>
          <w:sz w:val="24"/>
          <w:szCs w:val="24"/>
        </w:rPr>
        <w:t>.</w:t>
      </w:r>
      <w:r>
        <w:rPr>
          <w:rFonts w:ascii="Times New Roman" w:hAnsi="Times New Roman" w:cs="Times New Roman"/>
          <w:sz w:val="24"/>
          <w:szCs w:val="24"/>
        </w:rPr>
        <w:t xml:space="preserve"> </w:t>
      </w:r>
      <w:r w:rsidRPr="00CE0D95">
        <w:rPr>
          <w:rFonts w:ascii="Times New Roman" w:hAnsi="Times New Roman" w:cs="Times New Roman"/>
          <w:i/>
          <w:sz w:val="24"/>
          <w:szCs w:val="24"/>
        </w:rPr>
        <w:t xml:space="preserve">ove risulta depositato letame equino misto a </w:t>
      </w:r>
      <w:proofErr w:type="spellStart"/>
      <w:r w:rsidRPr="00CE0D95">
        <w:rPr>
          <w:rFonts w:ascii="Times New Roman" w:hAnsi="Times New Roman" w:cs="Times New Roman"/>
          <w:i/>
          <w:sz w:val="24"/>
          <w:szCs w:val="24"/>
        </w:rPr>
        <w:t>digestato</w:t>
      </w:r>
      <w:proofErr w:type="spellEnd"/>
      <w:r w:rsidRPr="00CE0D95">
        <w:rPr>
          <w:rFonts w:ascii="Times New Roman" w:hAnsi="Times New Roman" w:cs="Times New Roman"/>
          <w:i/>
          <w:sz w:val="24"/>
          <w:szCs w:val="24"/>
        </w:rPr>
        <w:t xml:space="preserve"> solido ed all'adiacente </w:t>
      </w:r>
      <w:proofErr w:type="spellStart"/>
      <w:r w:rsidRPr="00CE0D95">
        <w:rPr>
          <w:rFonts w:ascii="Times New Roman" w:hAnsi="Times New Roman" w:cs="Times New Roman"/>
          <w:i/>
          <w:sz w:val="24"/>
          <w:szCs w:val="24"/>
        </w:rPr>
        <w:t>letamaia</w:t>
      </w:r>
      <w:proofErr w:type="spellEnd"/>
      <w:r w:rsidRPr="00D20488">
        <w:rPr>
          <w:rFonts w:ascii="Times New Roman" w:hAnsi="Times New Roman" w:cs="Times New Roman"/>
          <w:sz w:val="24"/>
          <w:szCs w:val="24"/>
        </w:rPr>
        <w:t xml:space="preserve">». L'ordinanza impugnata si esprime nei medesimi termini.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lastRenderedPageBreak/>
        <w:t xml:space="preserve">La condotta contestata e l'indicazione delle disposizioni normative che si assumono violate, di cui si è dato conto in premessa, sono ricavabili dal ricorso che riproduce testualmente anche una parte della provvisoria imputazione.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Risulta ancora dal ricorso che il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rinvenuto dalla polizia giudiziaria non è stato preso in considerazione dal G.I.P. in ragione di quanto disposto dall'art. 52, comma 2-bis del d.1. 22 giugno </w:t>
      </w:r>
      <w:r>
        <w:rPr>
          <w:rFonts w:ascii="Times New Roman" w:hAnsi="Times New Roman" w:cs="Times New Roman"/>
          <w:sz w:val="24"/>
          <w:szCs w:val="24"/>
        </w:rPr>
        <w:t>2012, n. 83 (convertito, con</w:t>
      </w:r>
      <w:r w:rsidRPr="00D20488">
        <w:rPr>
          <w:rFonts w:ascii="Times New Roman" w:hAnsi="Times New Roman" w:cs="Times New Roman"/>
          <w:sz w:val="24"/>
          <w:szCs w:val="24"/>
        </w:rPr>
        <w:t xml:space="preserve"> modificazioni dalla L. 7 agosto 2012, n. 134) il quale considera sottoprodotto, ai sensi dell'art. 184-bis del d.lgs. 152\06, il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w:t>
      </w:r>
      <w:r w:rsidRPr="00CE0D95">
        <w:rPr>
          <w:rFonts w:ascii="Times New Roman" w:hAnsi="Times New Roman" w:cs="Times New Roman"/>
          <w:i/>
          <w:sz w:val="24"/>
          <w:szCs w:val="24"/>
        </w:rPr>
        <w:t>ottenuto in impianti aziendali o interaziendali dalla digestione anaerobica, eventualmente associata anche ad altri trattamenti di tipo fisico-meccanico, di effluenti di allevamento o residui di origine vegetale o residui delle trasformazioni o delle valorizzazioni delle produzioni vegetali effettuate dall'agro-industria, conferiti come sottoprodotti, anche se miscelati fra loro, e utilizzato ai fini agronomici</w:t>
      </w:r>
      <w:r w:rsidRPr="00D20488">
        <w:rPr>
          <w:rFonts w:ascii="Times New Roman" w:hAnsi="Times New Roman" w:cs="Times New Roman"/>
          <w:sz w:val="24"/>
          <w:szCs w:val="24"/>
        </w:rPr>
        <w:t xml:space="preserv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La misura reale è stata pertanto applicata al solo letame ed al letame misto a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rispetto al quale il Giudice per le indagini preliminari ha escluso la natura di materia fecale e la conseguente applicabilità della deroga alla disciplina generale dei rifiuti prevista dall'art. 185, comma l, lettera f) d.lgs. 152\06, collocando detto materiale nell'ambito dei sottoprodotti di origine animale di cui tratta il successivo comma 2, </w:t>
      </w:r>
      <w:proofErr w:type="spellStart"/>
      <w:r w:rsidRPr="00D20488">
        <w:rPr>
          <w:rFonts w:ascii="Times New Roman" w:hAnsi="Times New Roman" w:cs="Times New Roman"/>
          <w:sz w:val="24"/>
          <w:szCs w:val="24"/>
        </w:rPr>
        <w:t>lett</w:t>
      </w:r>
      <w:proofErr w:type="spellEnd"/>
      <w:r w:rsidRPr="00D20488">
        <w:rPr>
          <w:rFonts w:ascii="Times New Roman" w:hAnsi="Times New Roman" w:cs="Times New Roman"/>
          <w:sz w:val="24"/>
          <w:szCs w:val="24"/>
        </w:rPr>
        <w:t xml:space="preserve">. b) del medesimo articolo, ritenendo però non operante, neppure in questo caso, la deroga, trattandosi, nel caso sottoposto alla sua attenzione, di materiali comunque destinati all'incenerimento, allo smaltimento in discarica o all'utilizzo in un impianto di produzione di biogas o di compostaggio.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Tale interpretazione delle disposizioni appena menzionate è stata ritenuta corretta dai giudici del riesame in quanto corrispondente al dato letterale della normativa di riferimento, mentre viene criticata dalla ricorrente che ne contesta, come si è già detto, in primis la natura di rifiuto ed, in ogni caso, ritiene operante la deroga prevista per le materie fecali ed i sottoprodotti secondo una diffusa analisi che, tuttavia, per le ragioni che verranno di seguito specificate, non appare condivisibile.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5. Date tali premesse, occorre richiamare i contenuti delle disposizioni in precedenza menzionate e la lettura datane dalla giurisprudenza di questa Corte.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Prescindendo quindi dal richiamare le diverse formulazioni della norma succedutesi nel tempo, secondo una sequenza che ha giustamente indotto la dottrina a parlare di «</w:t>
      </w:r>
      <w:r w:rsidRPr="00CE0D95">
        <w:rPr>
          <w:rFonts w:ascii="Times New Roman" w:hAnsi="Times New Roman" w:cs="Times New Roman"/>
          <w:i/>
          <w:sz w:val="24"/>
          <w:szCs w:val="24"/>
        </w:rPr>
        <w:t>altalena normativa sui rifiuti agricoli</w:t>
      </w:r>
      <w:r w:rsidRPr="00D20488">
        <w:rPr>
          <w:rFonts w:ascii="Times New Roman" w:hAnsi="Times New Roman" w:cs="Times New Roman"/>
          <w:sz w:val="24"/>
          <w:szCs w:val="24"/>
        </w:rPr>
        <w:t xml:space="preserve">», va ricordato che l'art. 185, comma l, lettera f), attualmente vigente ed applicabile, quindi, alla fattispecie in esame, esclude dal novero dei rifiuti le materie fecali, se non contemplate dal successivo comma 2, lettera b) (che richiama i sottoprodotti di origine animale) oltre a paglia, sfalci e potature nonché altro materiale agricolo o forestale naturale non pericoloso utilizzati in agricoltura, nella selvicoltura o per la produzione di energia da tale biomassa mediante processi o metodi che non danneggiano l'ambiente né mettono in pericolo la salute umana.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La disposizione, quindi, pone sostanzialmente l'accento sulla provenienza dei materiali elencati (ivi comprese, dunque, le materie fecali) dall'attività agricola e sulla loro successiva utilizzazione sempre con riguardo a detta attività.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L'ambito di applicazione della disposizione è stato compiutamente delineato dalla giurisprudenza di questa Corte con riferimento alle disposizioni previgenti, ma con argomentazioni tuttora valide, considerando il tenore letterale della norma, rilevando che l'esclusione dalla disciplina dei rifiuti opera a condizione che le materie provengano da attività agricola e che siano riutilizzate nella stessa attività agricola (Sez. III n. 8890,</w:t>
      </w:r>
      <w:r w:rsidR="000378B0">
        <w:rPr>
          <w:rFonts w:ascii="Times New Roman" w:hAnsi="Times New Roman" w:cs="Times New Roman"/>
          <w:sz w:val="24"/>
          <w:szCs w:val="24"/>
        </w:rPr>
        <w:t xml:space="preserve"> </w:t>
      </w:r>
      <w:r w:rsidRPr="00D20488">
        <w:rPr>
          <w:rFonts w:ascii="Times New Roman" w:hAnsi="Times New Roman" w:cs="Times New Roman"/>
          <w:sz w:val="24"/>
          <w:szCs w:val="24"/>
        </w:rPr>
        <w:t>10 febbraio 2005. Nello stesso senso V. Sez. III n. 37405, 14 ottobre 2005; Sez. III n. 20458, 25 maggio 2007, non massimata; Sez. III n. 37560, 3 ottobre 2008, non massimata; Sez. III n. 41831, 7 novembre 2008, non massimata. V. anche, con specifico riferimento all'utilizzazione agronomica, Sez. III n.</w:t>
      </w:r>
      <w:r w:rsidR="000378B0">
        <w:rPr>
          <w:rFonts w:ascii="Times New Roman" w:hAnsi="Times New Roman" w:cs="Times New Roman"/>
          <w:sz w:val="24"/>
          <w:szCs w:val="24"/>
        </w:rPr>
        <w:t xml:space="preserve"> </w:t>
      </w:r>
      <w:r w:rsidRPr="00D20488">
        <w:rPr>
          <w:rFonts w:ascii="Times New Roman" w:hAnsi="Times New Roman" w:cs="Times New Roman"/>
          <w:sz w:val="24"/>
          <w:szCs w:val="24"/>
        </w:rPr>
        <w:t xml:space="preserve">38411, 9 ottobre 2008; Sez. III n. 22005, 9 giugno 2010, </w:t>
      </w:r>
      <w:proofErr w:type="spellStart"/>
      <w:r w:rsidRPr="00D20488">
        <w:rPr>
          <w:rFonts w:ascii="Times New Roman" w:hAnsi="Times New Roman" w:cs="Times New Roman"/>
          <w:sz w:val="24"/>
          <w:szCs w:val="24"/>
        </w:rPr>
        <w:t>Marcoz</w:t>
      </w:r>
      <w:proofErr w:type="spellEnd"/>
      <w:r w:rsidRPr="00D20488">
        <w:rPr>
          <w:rFonts w:ascii="Times New Roman" w:hAnsi="Times New Roman" w:cs="Times New Roman"/>
          <w:sz w:val="24"/>
          <w:szCs w:val="24"/>
        </w:rPr>
        <w:t xml:space="preserv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Si è anche chiarito che l'esclusione è appli</w:t>
      </w:r>
      <w:r>
        <w:rPr>
          <w:rFonts w:ascii="Times New Roman" w:hAnsi="Times New Roman" w:cs="Times New Roman"/>
          <w:sz w:val="24"/>
          <w:szCs w:val="24"/>
        </w:rPr>
        <w:t xml:space="preserve">cabile solo al letame agricolo, </w:t>
      </w:r>
      <w:r w:rsidRPr="00D20488">
        <w:rPr>
          <w:rFonts w:ascii="Times New Roman" w:hAnsi="Times New Roman" w:cs="Times New Roman"/>
          <w:sz w:val="24"/>
          <w:szCs w:val="24"/>
        </w:rPr>
        <w:t>poiché quello non agricolo è sicuramente un rifiuto e che l'effettiva riutilizzazione nell'attività agricola deve essere dimostrata dall'interessato (Sez. III n.</w:t>
      </w:r>
      <w:r w:rsidR="00191B7B">
        <w:rPr>
          <w:rFonts w:ascii="Times New Roman" w:hAnsi="Times New Roman" w:cs="Times New Roman"/>
          <w:sz w:val="24"/>
          <w:szCs w:val="24"/>
        </w:rPr>
        <w:t xml:space="preserve"> </w:t>
      </w:r>
      <w:r w:rsidRPr="00D20488">
        <w:rPr>
          <w:rFonts w:ascii="Times New Roman" w:hAnsi="Times New Roman" w:cs="Times New Roman"/>
          <w:sz w:val="24"/>
          <w:szCs w:val="24"/>
        </w:rPr>
        <w:t xml:space="preserve">45974, 19 dicembre 2005, non massimata).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Con specifico riferimento alla pratica della c.d. fertirrigazione, si è successivamente precisato che essa, quale presupposto di sottrazione delle deiezioni animali alla disciplina sui rifiuti, richiede, in </w:t>
      </w:r>
      <w:r w:rsidRPr="00D20488">
        <w:rPr>
          <w:rFonts w:ascii="Times New Roman" w:hAnsi="Times New Roman" w:cs="Times New Roman"/>
          <w:sz w:val="24"/>
          <w:szCs w:val="24"/>
        </w:rPr>
        <w:lastRenderedPageBreak/>
        <w:t>primo luogo, l'esistenza effettiva di colture in atto sull</w:t>
      </w:r>
      <w:r w:rsidR="00653208">
        <w:rPr>
          <w:rFonts w:ascii="Times New Roman" w:hAnsi="Times New Roman" w:cs="Times New Roman"/>
          <w:sz w:val="24"/>
          <w:szCs w:val="24"/>
        </w:rPr>
        <w:t>e aree interessate dallo spandi</w:t>
      </w:r>
      <w:r w:rsidRPr="00D20488">
        <w:rPr>
          <w:rFonts w:ascii="Times New Roman" w:hAnsi="Times New Roman" w:cs="Times New Roman"/>
          <w:sz w:val="24"/>
          <w:szCs w:val="24"/>
        </w:rPr>
        <w:t>mento, nonché l'adeguatezza di quantità e qualità degli effluenti e dei tempi e modalità di distribuzione al tipo e fabbisogno delle colture e, in secondo luogo, l'assenza di dati sintomatici di una utilizzazione incompatibile con la fertirrigazione, quali, ad esempio, lo spandimento di liquami lasciati scorrere per caduta a fine ciclo vegetat</w:t>
      </w:r>
      <w:r w:rsidR="00653208">
        <w:rPr>
          <w:rFonts w:ascii="Times New Roman" w:hAnsi="Times New Roman" w:cs="Times New Roman"/>
          <w:sz w:val="24"/>
          <w:szCs w:val="24"/>
        </w:rPr>
        <w:t>ivo</w:t>
      </w:r>
      <w:r w:rsidRPr="00D20488">
        <w:rPr>
          <w:rFonts w:ascii="Times New Roman" w:hAnsi="Times New Roman" w:cs="Times New Roman"/>
          <w:sz w:val="24"/>
          <w:szCs w:val="24"/>
        </w:rPr>
        <w:t xml:space="preserve"> (Sez. III n. 5039, 9 febbraio 2012. </w:t>
      </w:r>
      <w:proofErr w:type="spellStart"/>
      <w:r w:rsidRPr="00D20488">
        <w:rPr>
          <w:rFonts w:ascii="Times New Roman" w:hAnsi="Times New Roman" w:cs="Times New Roman"/>
          <w:sz w:val="24"/>
          <w:szCs w:val="24"/>
        </w:rPr>
        <w:t>Conf</w:t>
      </w:r>
      <w:proofErr w:type="spellEnd"/>
      <w:r w:rsidRPr="00D20488">
        <w:rPr>
          <w:rFonts w:ascii="Times New Roman" w:hAnsi="Times New Roman" w:cs="Times New Roman"/>
          <w:sz w:val="24"/>
          <w:szCs w:val="24"/>
        </w:rPr>
        <w:t>. Sez. III, n. 5044 del 9 febbraio 2012, non massimata, Se</w:t>
      </w:r>
      <w:r>
        <w:rPr>
          <w:rFonts w:ascii="Times New Roman" w:hAnsi="Times New Roman" w:cs="Times New Roman"/>
          <w:sz w:val="24"/>
          <w:szCs w:val="24"/>
        </w:rPr>
        <w:t>z. III n. 15043, 2 aprile 2013).</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L'analisi effettuata con riferimento alla previgente disciplina appare tuttora valida, considerato il preciso richiamo attualmente rivolto alla provenienza, alle caratteristiche ed alla successiva utilizzazione delle materie fecali. Va anche osservato che il riferimento alla attività agricola e le altre precise indicazioni fornite dal legislatore nel delimitare i rifiuti agricoli sottratti alla disciplina generale, rendono evidente che l'interpretazione letterale della disposizione sopra richiamata deve ritenersi applicabile anche alle materie diverse da quelle fecali.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Merita inoltre menzione il fatto che, nella relazione illustrativa al </w:t>
      </w:r>
      <w:proofErr w:type="spellStart"/>
      <w:r w:rsidRPr="00D20488">
        <w:rPr>
          <w:rFonts w:ascii="Times New Roman" w:hAnsi="Times New Roman" w:cs="Times New Roman"/>
          <w:sz w:val="24"/>
          <w:szCs w:val="24"/>
        </w:rPr>
        <w:t>D.Lv</w:t>
      </w:r>
      <w:proofErr w:type="spellEnd"/>
      <w:r w:rsidRPr="00D20488">
        <w:rPr>
          <w:rFonts w:ascii="Times New Roman" w:hAnsi="Times New Roman" w:cs="Times New Roman"/>
          <w:sz w:val="24"/>
          <w:szCs w:val="24"/>
        </w:rPr>
        <w:t>. 205/10 (che ha apportato una tra le diverse modifiche dell'art. 185) viene richiamata l'attenzione, relativamente alle materie fecali, sulla distinzione tra il contenuto dell'articolo 185, comma l, lettera f) e quello del secondo comma de</w:t>
      </w:r>
      <w:r w:rsidR="00191B7B">
        <w:rPr>
          <w:rFonts w:ascii="Times New Roman" w:hAnsi="Times New Roman" w:cs="Times New Roman"/>
          <w:sz w:val="24"/>
          <w:szCs w:val="24"/>
        </w:rPr>
        <w:t>l medesimo articolo, lettera b),</w:t>
      </w:r>
      <w:r w:rsidRPr="00D20488">
        <w:rPr>
          <w:rFonts w:ascii="Times New Roman" w:hAnsi="Times New Roman" w:cs="Times New Roman"/>
          <w:sz w:val="24"/>
          <w:szCs w:val="24"/>
        </w:rPr>
        <w:t xml:space="preserve"> osservando come quest'ultimo riguardi i soli sottoprodotti di origine animale disciplinati dal Regolamento comunitario 1774\02, definiti dall'articolo 2, comma l, lettera a) del Regolamento con modalità tali da delimitarne l'ambito di applicazione.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Da ciò consegue, sempre secondo la relazione, che, per le materie fecali, sarà necessaria una preventiva verifica finalizzata ad individuarne la collocazione entro i limiti fissati dal Regolamento 1774\02 che ne determinerebbe l'esclusione dal novero dei rifiuti ai sensi dell'articolo 185, comma 2, lettera b) e, nel caso in cui non operi la citata disposizione comunitaria, alla ulteriore verifica della sussistenza dei presupposti per l'esclusione fissati dell'articolo 185, comma l, lettera f).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Il succitato Regolamento, modificato dal Regolamento (CE) n. 1432\2007 del 5 dicembre 2007, è stato successivamente abrogato, con effetto dal 4 marzo 2011, dal Regolamento (CE) n. 1069/2009 del 21 ottobre 2009, il quale peraltro specifica che i precedenti riferimenti al regolamento 1774/2002 devono ritenersi riferiti al nuovo regolamento secondo la tavola di concordanza allegata,</w:t>
      </w:r>
      <w:r w:rsidR="00191B7B">
        <w:rPr>
          <w:rFonts w:ascii="Times New Roman" w:hAnsi="Times New Roman" w:cs="Times New Roman"/>
          <w:sz w:val="24"/>
          <w:szCs w:val="24"/>
        </w:rPr>
        <w:t xml:space="preserve"> </w:t>
      </w:r>
      <w:r w:rsidRPr="00D20488">
        <w:rPr>
          <w:rFonts w:ascii="Times New Roman" w:hAnsi="Times New Roman" w:cs="Times New Roman"/>
          <w:sz w:val="24"/>
          <w:szCs w:val="24"/>
        </w:rPr>
        <w:t xml:space="preserve">evidenziandosene, così, la continuità.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L'art. 3, n. 20 del Regolamento 1069</w:t>
      </w:r>
      <w:r w:rsidR="00191B7B">
        <w:rPr>
          <w:rFonts w:ascii="Times New Roman" w:hAnsi="Times New Roman" w:cs="Times New Roman"/>
          <w:sz w:val="24"/>
          <w:szCs w:val="24"/>
        </w:rPr>
        <w:t>/</w:t>
      </w:r>
      <w:r w:rsidRPr="00D20488">
        <w:rPr>
          <w:rFonts w:ascii="Times New Roman" w:hAnsi="Times New Roman" w:cs="Times New Roman"/>
          <w:sz w:val="24"/>
          <w:szCs w:val="24"/>
        </w:rPr>
        <w:t>2009 definisce «</w:t>
      </w:r>
      <w:r w:rsidRPr="00653208">
        <w:rPr>
          <w:rFonts w:ascii="Times New Roman" w:hAnsi="Times New Roman" w:cs="Times New Roman"/>
          <w:i/>
          <w:sz w:val="24"/>
          <w:szCs w:val="24"/>
        </w:rPr>
        <w:t>stallatico</w:t>
      </w:r>
      <w:r w:rsidRPr="00D20488">
        <w:rPr>
          <w:rFonts w:ascii="Times New Roman" w:hAnsi="Times New Roman" w:cs="Times New Roman"/>
          <w:sz w:val="24"/>
          <w:szCs w:val="24"/>
        </w:rPr>
        <w:t>» gli «</w:t>
      </w:r>
      <w:r w:rsidRPr="00653208">
        <w:rPr>
          <w:rFonts w:ascii="Times New Roman" w:hAnsi="Times New Roman" w:cs="Times New Roman"/>
          <w:i/>
          <w:sz w:val="24"/>
          <w:szCs w:val="24"/>
        </w:rPr>
        <w:t>escrementi e/o l'urina di animali di allevamento diversi dai pesci d'allevamento, con o senza lettiera</w:t>
      </w:r>
      <w:r w:rsidRPr="00D20488">
        <w:rPr>
          <w:rFonts w:ascii="Times New Roman" w:hAnsi="Times New Roman" w:cs="Times New Roman"/>
          <w:sz w:val="24"/>
          <w:szCs w:val="24"/>
        </w:rPr>
        <w:t>», mentre il successivo articolo 9, lettera a) individua lo stallatico, unitamente al guano non mineralizzato ed al contenuto del tubo digerente, come sottoprodotto di origine animale, collocandolo tra i «</w:t>
      </w:r>
      <w:r w:rsidRPr="00ED65FF">
        <w:rPr>
          <w:rFonts w:ascii="Times New Roman" w:hAnsi="Times New Roman" w:cs="Times New Roman"/>
          <w:i/>
          <w:sz w:val="24"/>
          <w:szCs w:val="24"/>
        </w:rPr>
        <w:t>materiali di categoria 2</w:t>
      </w:r>
      <w:r w:rsidRPr="00D20488">
        <w:rPr>
          <w:rFonts w:ascii="Times New Roman" w:hAnsi="Times New Roman" w:cs="Times New Roman"/>
          <w:sz w:val="24"/>
          <w:szCs w:val="24"/>
        </w:rPr>
        <w:t xml:space="preserve">» il cui smalti mento ed uso è disciplinato dal successivo art. </w:t>
      </w:r>
      <w:r w:rsidR="00ED65FF">
        <w:rPr>
          <w:rFonts w:ascii="Times New Roman" w:hAnsi="Times New Roman" w:cs="Times New Roman"/>
          <w:sz w:val="24"/>
          <w:szCs w:val="24"/>
        </w:rPr>
        <w:t>1</w:t>
      </w:r>
      <w:r w:rsidRPr="00D20488">
        <w:rPr>
          <w:rFonts w:ascii="Times New Roman" w:hAnsi="Times New Roman" w:cs="Times New Roman"/>
          <w:sz w:val="24"/>
          <w:szCs w:val="24"/>
        </w:rPr>
        <w:t xml:space="preserve">3, il quale comprende, alla lettera f), anche la possibilità di spandimento sul terreno senza trasformazione preliminare, qualora l'autorità competente ritenga che non presentino rischi di diffusione di malattie trasmissibili gravi.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L'art. 2, comma 2 del medesimo regolamento ne esclude l'applicabilità ai sottoprodotti destinati a sterilizzazione sotto pressione o alla trasformazione mediante i metodi di cui all'articolo 15, paragrafo l, lettera b) o alla trasformazione in biogas o compost (lettera iii) ed agli escrementi e urina diversi dallo stallatico, nonché il guano non mineralizzato (lettera k).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Tornando all'art. 185 del d.lgs. 152</w:t>
      </w:r>
      <w:r w:rsidR="00191B7B">
        <w:rPr>
          <w:rFonts w:ascii="Times New Roman" w:hAnsi="Times New Roman" w:cs="Times New Roman"/>
          <w:sz w:val="24"/>
          <w:szCs w:val="24"/>
        </w:rPr>
        <w:t>/</w:t>
      </w:r>
      <w:r w:rsidRPr="00D20488">
        <w:rPr>
          <w:rFonts w:ascii="Times New Roman" w:hAnsi="Times New Roman" w:cs="Times New Roman"/>
          <w:sz w:val="24"/>
          <w:szCs w:val="24"/>
        </w:rPr>
        <w:t>06, va ricordato che il comma 2, lettera b) esclude dal novero dei rifiuti, in quanto regolati da altre disposizioni normative comunitarie, ivi incluse le rispettive norme nazionali di recepimento, anche i sottoprodotti di origine animale, compresi i prodotti trasformati, contemplati dal regolamento (CE) n. 1774/2002 (dal 4 marzo 2011, come si è detto, dal Regolamento (CE) n. 1069/2009 del 21 ottobre 2009), eccetto quelli destinati</w:t>
      </w:r>
      <w:r w:rsidR="00491C38">
        <w:rPr>
          <w:rFonts w:ascii="Times New Roman" w:hAnsi="Times New Roman" w:cs="Times New Roman"/>
          <w:sz w:val="24"/>
          <w:szCs w:val="24"/>
        </w:rPr>
        <w:t xml:space="preserve"> all'incenerimento, allo smalti</w:t>
      </w:r>
      <w:r w:rsidRPr="00D20488">
        <w:rPr>
          <w:rFonts w:ascii="Times New Roman" w:hAnsi="Times New Roman" w:cs="Times New Roman"/>
          <w:sz w:val="24"/>
          <w:szCs w:val="24"/>
        </w:rPr>
        <w:t xml:space="preserve">mento in discarica o all'utilizzo in un impianto di produzione di biogas o di compostaggio.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6. Così sommariamente delimitato l'ambito di operatività delle disposizioni richiamate, occorre rilevare che il Tribunale del riesame, nel confermare la misura reale non è incorso, come si è detto, nella violazione di legge denunciata.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Va innanzi tutto osservato che la valutazione cui erano chiamati i giudici del riesame doveva ritenersi limitata alla verifica delle condizioni di legittimità della misura cautelare e non poteva certo tradursi </w:t>
      </w:r>
      <w:r w:rsidRPr="00D20488">
        <w:rPr>
          <w:rFonts w:ascii="Times New Roman" w:hAnsi="Times New Roman" w:cs="Times New Roman"/>
          <w:sz w:val="24"/>
          <w:szCs w:val="24"/>
        </w:rPr>
        <w:lastRenderedPageBreak/>
        <w:t xml:space="preserve">in anticipata decisione della questione di merito sulla la responsabilità della persona sottoposta ad indagini in ordine al reato oggetto di investigazione.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Inoltre, secondo la costante giurisprudenza di questa Corte, l'applicazione di norme aventi natura eccezionale e derogatoria rispetto alla disciplina ordinaria in tema di rifiuti fa sì che l'onere della prova circa la sussistenza delle condizioni di legge debba essere assolto da colui che ne richiede l'applicazione</w:t>
      </w:r>
      <w:r>
        <w:rPr>
          <w:rFonts w:ascii="Times New Roman" w:hAnsi="Times New Roman" w:cs="Times New Roman"/>
          <w:sz w:val="24"/>
          <w:szCs w:val="24"/>
        </w:rPr>
        <w:t xml:space="preserve"> (v. ad es. Sez. III n.17453, 10</w:t>
      </w:r>
      <w:r w:rsidRPr="00D20488">
        <w:rPr>
          <w:rFonts w:ascii="Times New Roman" w:hAnsi="Times New Roman" w:cs="Times New Roman"/>
          <w:sz w:val="24"/>
          <w:szCs w:val="24"/>
        </w:rPr>
        <w:t xml:space="preserve"> maggio 2012; Sez. III n. 16727, 29 aprile 2011; Sez. III n. 41836, 7 novembre 2008 in tema di sottoprodotti; Sez. III n. 15680, 23 aprile 2010; Sez. III n. 215</w:t>
      </w:r>
      <w:r w:rsidR="00191B7B">
        <w:rPr>
          <w:rFonts w:ascii="Times New Roman" w:hAnsi="Times New Roman" w:cs="Times New Roman"/>
          <w:sz w:val="24"/>
          <w:szCs w:val="24"/>
        </w:rPr>
        <w:t>87, 17 marzo 2004;</w:t>
      </w:r>
      <w:r w:rsidRPr="00D20488">
        <w:rPr>
          <w:rFonts w:ascii="Times New Roman" w:hAnsi="Times New Roman" w:cs="Times New Roman"/>
          <w:sz w:val="24"/>
          <w:szCs w:val="24"/>
        </w:rPr>
        <w:t xml:space="preserve"> Sez. III n. 30647, 15 giugno 2004 in tema di deposito temporaneo e, con riferimento alle terre e rocce da scavo, Sez. III n. 9794, 8 marzo 2007; Sez. III n. 37280, l ottobre 2008; Sez. III n. 35138, </w:t>
      </w:r>
      <w:r>
        <w:rPr>
          <w:rFonts w:ascii="Times New Roman" w:hAnsi="Times New Roman" w:cs="Times New Roman"/>
          <w:sz w:val="24"/>
          <w:szCs w:val="24"/>
        </w:rPr>
        <w:t>10</w:t>
      </w:r>
      <w:r w:rsidRPr="00D20488">
        <w:rPr>
          <w:rFonts w:ascii="Times New Roman" w:hAnsi="Times New Roman" w:cs="Times New Roman"/>
          <w:sz w:val="24"/>
          <w:szCs w:val="24"/>
        </w:rPr>
        <w:t xml:space="preserve"> settembre 2009).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7. Nella fattispecie, da ciò che può rilevarsi dal ricorso e dal provvedimento impugnato, risulta che il materiale interessato dal sequestro è composto da letame e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misto a letame (v. provvedimento del G.I.P. parzialmente riportato in ricorso), che il letame proviene da attività di allevamento per la produzione di carne e latte e viene utilizzato per la produzione di biogas e, successivamente, quale ammendante sui campi (pag.</w:t>
      </w:r>
      <w:r w:rsidR="00191B7B">
        <w:rPr>
          <w:rFonts w:ascii="Times New Roman" w:hAnsi="Times New Roman" w:cs="Times New Roman"/>
          <w:sz w:val="24"/>
          <w:szCs w:val="24"/>
        </w:rPr>
        <w:t xml:space="preserve"> </w:t>
      </w:r>
      <w:r w:rsidRPr="00D20488">
        <w:rPr>
          <w:rFonts w:ascii="Times New Roman" w:hAnsi="Times New Roman" w:cs="Times New Roman"/>
          <w:sz w:val="24"/>
          <w:szCs w:val="24"/>
        </w:rPr>
        <w:t xml:space="preserve">12 del ricorso).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Prendendo in considerazione tali dati fattuali, può rilevarsi che correttamente i giudici abbiano operato l'esclusione delle sostanze rinvenute dalle «materie fecali» di cui all'art. 185 comma l, lettera f), perché la provenienza da attività di allevamento non eminentemente agricola (oltre alla commistione tra letame e </w:t>
      </w:r>
      <w:proofErr w:type="spellStart"/>
      <w:r w:rsidRPr="00D20488">
        <w:rPr>
          <w:rFonts w:ascii="Times New Roman" w:hAnsi="Times New Roman" w:cs="Times New Roman"/>
          <w:sz w:val="24"/>
          <w:szCs w:val="24"/>
        </w:rPr>
        <w:t>digestato</w:t>
      </w:r>
      <w:proofErr w:type="spellEnd"/>
      <w:r w:rsidRPr="00D20488">
        <w:rPr>
          <w:rFonts w:ascii="Times New Roman" w:hAnsi="Times New Roman" w:cs="Times New Roman"/>
          <w:sz w:val="24"/>
          <w:szCs w:val="24"/>
        </w:rPr>
        <w:t xml:space="preserve"> constatata in sede di accertamento) consentiva di collocare dette sostanze tra i sottoprodotti di origine animale disciplinati dal Regolamento (CE) n. 1069/2009 in ragione della già menzionata definizione offerta dall'art. 3 n. 20.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 xml:space="preserve">La destinazione del materiale all'alimentazione dell'impianto per la produzione di biogas comporta però, come si è detto, per espressa previsione dell'art. 185, comma 2, </w:t>
      </w:r>
      <w:proofErr w:type="spellStart"/>
      <w:r w:rsidRPr="00D20488">
        <w:rPr>
          <w:rFonts w:ascii="Times New Roman" w:hAnsi="Times New Roman" w:cs="Times New Roman"/>
          <w:sz w:val="24"/>
          <w:szCs w:val="24"/>
        </w:rPr>
        <w:t>lett</w:t>
      </w:r>
      <w:proofErr w:type="spellEnd"/>
      <w:r w:rsidRPr="00D20488">
        <w:rPr>
          <w:rFonts w:ascii="Times New Roman" w:hAnsi="Times New Roman" w:cs="Times New Roman"/>
          <w:sz w:val="24"/>
          <w:szCs w:val="24"/>
        </w:rPr>
        <w:t xml:space="preserve">. b), la non operatività della deroga e l'applicazione della disciplina generale sui rifiuti. </w:t>
      </w:r>
    </w:p>
    <w:p w:rsidR="00CE0D95" w:rsidRPr="00D20488"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Tale circostanza risulta inoltre determinante per escludere la fondatezza delle pur articolate deduzioni della ricorrente che, come correttamente osservato dal Tribunale, non consentivano di superare la lettera della legge, risultando, peraltro, in conseguenza di quanto disposto dalla normativa applicata, del tutto inconferenti i richiami operati alla nozione di rifiuto in generale ed alla disciplina dei sottoprodotti di cui</w:t>
      </w:r>
      <w:r>
        <w:rPr>
          <w:rFonts w:ascii="Times New Roman" w:hAnsi="Times New Roman" w:cs="Times New Roman"/>
          <w:sz w:val="24"/>
          <w:szCs w:val="24"/>
        </w:rPr>
        <w:t xml:space="preserve"> all'art. 184-bis d.lgs. 152</w:t>
      </w:r>
      <w:r w:rsidR="00191B7B">
        <w:rPr>
          <w:rFonts w:ascii="Times New Roman" w:hAnsi="Times New Roman" w:cs="Times New Roman"/>
          <w:sz w:val="24"/>
          <w:szCs w:val="24"/>
        </w:rPr>
        <w:t>/</w:t>
      </w:r>
      <w:r>
        <w:rPr>
          <w:rFonts w:ascii="Times New Roman" w:hAnsi="Times New Roman" w:cs="Times New Roman"/>
          <w:sz w:val="24"/>
          <w:szCs w:val="24"/>
        </w:rPr>
        <w:t>06.</w:t>
      </w:r>
    </w:p>
    <w:p w:rsidR="00CE0D95" w:rsidRDefault="00CE0D95" w:rsidP="00CE0D95">
      <w:pPr>
        <w:spacing w:after="0" w:line="240" w:lineRule="auto"/>
        <w:jc w:val="both"/>
        <w:rPr>
          <w:rFonts w:ascii="Times New Roman" w:hAnsi="Times New Roman" w:cs="Times New Roman"/>
          <w:sz w:val="24"/>
          <w:szCs w:val="24"/>
        </w:rPr>
      </w:pPr>
      <w:r w:rsidRPr="00D20488">
        <w:rPr>
          <w:rFonts w:ascii="Times New Roman" w:hAnsi="Times New Roman" w:cs="Times New Roman"/>
          <w:sz w:val="24"/>
          <w:szCs w:val="24"/>
        </w:rPr>
        <w:t>8. Il ricorso deve pertanto essere rigettato, con le consequenziali statuizioni indicate in dispositivo.</w:t>
      </w:r>
    </w:p>
    <w:p w:rsidR="00CE0D95" w:rsidRDefault="00CE0D95" w:rsidP="00CE0D95">
      <w:pPr>
        <w:spacing w:after="0" w:line="240" w:lineRule="auto"/>
        <w:jc w:val="both"/>
        <w:rPr>
          <w:rFonts w:ascii="Times New Roman" w:hAnsi="Times New Roman" w:cs="Times New Roman"/>
          <w:sz w:val="24"/>
          <w:szCs w:val="24"/>
        </w:rPr>
      </w:pPr>
    </w:p>
    <w:p w:rsidR="00CE0D95" w:rsidRPr="00015389" w:rsidRDefault="00CE0D95" w:rsidP="00CE0D95">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sectPr w:rsidR="00CE0D95" w:rsidRPr="0001538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893"/>
    <w:rsid w:val="00015389"/>
    <w:rsid w:val="000378B0"/>
    <w:rsid w:val="000A7F90"/>
    <w:rsid w:val="00133529"/>
    <w:rsid w:val="00191B7B"/>
    <w:rsid w:val="00291893"/>
    <w:rsid w:val="003B6BA4"/>
    <w:rsid w:val="004127F6"/>
    <w:rsid w:val="00491C38"/>
    <w:rsid w:val="004A3941"/>
    <w:rsid w:val="00651402"/>
    <w:rsid w:val="00653208"/>
    <w:rsid w:val="006A2AF2"/>
    <w:rsid w:val="00734733"/>
    <w:rsid w:val="0081714B"/>
    <w:rsid w:val="008F1C85"/>
    <w:rsid w:val="009738A4"/>
    <w:rsid w:val="00AA5ACD"/>
    <w:rsid w:val="00B3299B"/>
    <w:rsid w:val="00B75B59"/>
    <w:rsid w:val="00BC492F"/>
    <w:rsid w:val="00C11B13"/>
    <w:rsid w:val="00CE0D95"/>
    <w:rsid w:val="00ED65F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B72B4F-EE28-4C85-A498-0179CE644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75B5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75B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693420">
      <w:bodyDiv w:val="1"/>
      <w:marLeft w:val="0"/>
      <w:marRight w:val="0"/>
      <w:marTop w:val="0"/>
      <w:marBottom w:val="0"/>
      <w:divBdr>
        <w:top w:val="none" w:sz="0" w:space="0" w:color="auto"/>
        <w:left w:val="none" w:sz="0" w:space="0" w:color="auto"/>
        <w:bottom w:val="none" w:sz="0" w:space="0" w:color="auto"/>
        <w:right w:val="none" w:sz="0" w:space="0" w:color="auto"/>
      </w:divBdr>
    </w:div>
    <w:div w:id="1392001862">
      <w:bodyDiv w:val="1"/>
      <w:marLeft w:val="0"/>
      <w:marRight w:val="0"/>
      <w:marTop w:val="0"/>
      <w:marBottom w:val="0"/>
      <w:divBdr>
        <w:top w:val="none" w:sz="0" w:space="0" w:color="auto"/>
        <w:left w:val="none" w:sz="0" w:space="0" w:color="auto"/>
        <w:bottom w:val="none" w:sz="0" w:space="0" w:color="auto"/>
        <w:right w:val="none" w:sz="0" w:space="0" w:color="auto"/>
      </w:divBdr>
      <w:divsChild>
        <w:div w:id="1365911617">
          <w:marLeft w:val="0"/>
          <w:marRight w:val="0"/>
          <w:marTop w:val="0"/>
          <w:marBottom w:val="0"/>
          <w:divBdr>
            <w:top w:val="none" w:sz="0" w:space="0" w:color="auto"/>
            <w:left w:val="none" w:sz="0" w:space="0" w:color="auto"/>
            <w:bottom w:val="none" w:sz="0" w:space="0" w:color="auto"/>
            <w:right w:val="none" w:sz="0" w:space="0" w:color="auto"/>
          </w:divBdr>
          <w:divsChild>
            <w:div w:id="2042199908">
              <w:marLeft w:val="0"/>
              <w:marRight w:val="0"/>
              <w:marTop w:val="0"/>
              <w:marBottom w:val="0"/>
              <w:divBdr>
                <w:top w:val="none" w:sz="0" w:space="0" w:color="auto"/>
                <w:left w:val="none" w:sz="0" w:space="0" w:color="auto"/>
                <w:bottom w:val="none" w:sz="0" w:space="0" w:color="auto"/>
                <w:right w:val="none" w:sz="0" w:space="0" w:color="auto"/>
              </w:divBdr>
              <w:divsChild>
                <w:div w:id="1340160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4</Pages>
  <Words>2449</Words>
  <Characters>13960</Characters>
  <Application>Microsoft Office Word</Application>
  <DocSecurity>0</DocSecurity>
  <Lines>116</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Giulia</cp:lastModifiedBy>
  <cp:revision>19</cp:revision>
  <cp:lastPrinted>2014-05-07T14:03:00Z</cp:lastPrinted>
  <dcterms:created xsi:type="dcterms:W3CDTF">2014-04-30T14:02:00Z</dcterms:created>
  <dcterms:modified xsi:type="dcterms:W3CDTF">2014-05-07T14:03:00Z</dcterms:modified>
</cp:coreProperties>
</file>