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30603" w:rsidRPr="001D111F" w:rsidRDefault="001A7ADA" w:rsidP="00955714">
      <w:pPr>
        <w:spacing w:after="0" w:line="240" w:lineRule="auto"/>
        <w:jc w:val="both"/>
        <w:rPr>
          <w:rFonts w:ascii="Times New Roman" w:hAnsi="Times New Roman" w:cs="Times New Roman"/>
          <w:b/>
          <w:sz w:val="24"/>
        </w:rPr>
      </w:pPr>
      <w:r>
        <w:rPr>
          <w:rFonts w:ascii="Times New Roman" w:hAnsi="Times New Roman" w:cs="Times New Roman"/>
          <w:b/>
          <w:sz w:val="24"/>
        </w:rPr>
        <w:t xml:space="preserve">Tribunale </w:t>
      </w:r>
      <w:r w:rsidR="002B4EBB">
        <w:rPr>
          <w:rFonts w:ascii="Times New Roman" w:hAnsi="Times New Roman" w:cs="Times New Roman"/>
          <w:b/>
          <w:sz w:val="24"/>
        </w:rPr>
        <w:t xml:space="preserve">ordinario </w:t>
      </w:r>
      <w:r>
        <w:rPr>
          <w:rFonts w:ascii="Times New Roman" w:hAnsi="Times New Roman" w:cs="Times New Roman"/>
          <w:b/>
          <w:sz w:val="24"/>
        </w:rPr>
        <w:t xml:space="preserve">di Roma, sez. X, </w:t>
      </w:r>
      <w:r w:rsidR="001D111F" w:rsidRPr="001D111F">
        <w:rPr>
          <w:rFonts w:ascii="Times New Roman" w:hAnsi="Times New Roman" w:cs="Times New Roman"/>
          <w:b/>
          <w:sz w:val="24"/>
        </w:rPr>
        <w:t>n. 8131</w:t>
      </w:r>
      <w:r>
        <w:rPr>
          <w:rFonts w:ascii="Times New Roman" w:hAnsi="Times New Roman" w:cs="Times New Roman"/>
          <w:b/>
          <w:sz w:val="24"/>
        </w:rPr>
        <w:t xml:space="preserve"> </w:t>
      </w:r>
      <w:r w:rsidR="001D111F" w:rsidRPr="001D111F">
        <w:rPr>
          <w:rFonts w:ascii="Times New Roman" w:hAnsi="Times New Roman" w:cs="Times New Roman"/>
          <w:b/>
          <w:sz w:val="24"/>
        </w:rPr>
        <w:t xml:space="preserve">del </w:t>
      </w:r>
      <w:r>
        <w:rPr>
          <w:rFonts w:ascii="Times New Roman" w:hAnsi="Times New Roman" w:cs="Times New Roman"/>
          <w:b/>
          <w:sz w:val="24"/>
        </w:rPr>
        <w:t xml:space="preserve">08/04/2014 – </w:t>
      </w:r>
      <w:proofErr w:type="spellStart"/>
      <w:r>
        <w:rPr>
          <w:rFonts w:ascii="Times New Roman" w:hAnsi="Times New Roman" w:cs="Times New Roman"/>
          <w:b/>
          <w:sz w:val="24"/>
        </w:rPr>
        <w:t>Pres</w:t>
      </w:r>
      <w:proofErr w:type="spellEnd"/>
      <w:r>
        <w:rPr>
          <w:rFonts w:ascii="Times New Roman" w:hAnsi="Times New Roman" w:cs="Times New Roman"/>
          <w:b/>
          <w:sz w:val="24"/>
        </w:rPr>
        <w:t>.</w:t>
      </w:r>
      <w:r w:rsidR="00EA3375">
        <w:rPr>
          <w:rFonts w:ascii="Times New Roman" w:hAnsi="Times New Roman" w:cs="Times New Roman"/>
          <w:b/>
          <w:sz w:val="24"/>
        </w:rPr>
        <w:t xml:space="preserve"> </w:t>
      </w:r>
      <w:r w:rsidR="002B4EBB">
        <w:rPr>
          <w:rFonts w:ascii="Times New Roman" w:hAnsi="Times New Roman" w:cs="Times New Roman"/>
          <w:b/>
          <w:sz w:val="24"/>
        </w:rPr>
        <w:t>e</w:t>
      </w:r>
      <w:r w:rsidR="00EA3375">
        <w:rPr>
          <w:rFonts w:ascii="Times New Roman" w:hAnsi="Times New Roman" w:cs="Times New Roman"/>
          <w:b/>
          <w:sz w:val="24"/>
        </w:rPr>
        <w:t>d Est.</w:t>
      </w:r>
      <w:r>
        <w:rPr>
          <w:rFonts w:ascii="Times New Roman" w:hAnsi="Times New Roman" w:cs="Times New Roman"/>
          <w:b/>
          <w:sz w:val="24"/>
        </w:rPr>
        <w:t xml:space="preserve"> Landi </w:t>
      </w:r>
      <w:r w:rsidR="00DC3337">
        <w:rPr>
          <w:rFonts w:ascii="Times New Roman" w:hAnsi="Times New Roman" w:cs="Times New Roman"/>
          <w:b/>
          <w:sz w:val="24"/>
        </w:rPr>
        <w:t xml:space="preserve">- </w:t>
      </w:r>
      <w:r w:rsidR="00950728">
        <w:rPr>
          <w:rFonts w:ascii="Times New Roman" w:hAnsi="Times New Roman" w:cs="Times New Roman"/>
          <w:b/>
          <w:sz w:val="24"/>
        </w:rPr>
        <w:t xml:space="preserve">Attore CONAI (Consorzio Nazionale degli Imballaggi) c. </w:t>
      </w:r>
      <w:proofErr w:type="spellStart"/>
      <w:r w:rsidR="00950728">
        <w:rPr>
          <w:rFonts w:ascii="Times New Roman" w:hAnsi="Times New Roman" w:cs="Times New Roman"/>
          <w:b/>
          <w:sz w:val="24"/>
        </w:rPr>
        <w:t>C</w:t>
      </w:r>
      <w:r w:rsidR="00692772">
        <w:rPr>
          <w:rFonts w:ascii="Times New Roman" w:hAnsi="Times New Roman" w:cs="Times New Roman"/>
          <w:b/>
          <w:sz w:val="24"/>
        </w:rPr>
        <w:t>app</w:t>
      </w:r>
      <w:proofErr w:type="spellEnd"/>
      <w:r w:rsidR="00950728">
        <w:rPr>
          <w:rFonts w:ascii="Times New Roman" w:hAnsi="Times New Roman" w:cs="Times New Roman"/>
          <w:b/>
          <w:sz w:val="24"/>
        </w:rPr>
        <w:t xml:space="preserve"> </w:t>
      </w:r>
      <w:proofErr w:type="spellStart"/>
      <w:r w:rsidR="00950728">
        <w:rPr>
          <w:rFonts w:ascii="Times New Roman" w:hAnsi="Times New Roman" w:cs="Times New Roman"/>
          <w:b/>
          <w:sz w:val="24"/>
        </w:rPr>
        <w:t>P</w:t>
      </w:r>
      <w:r w:rsidR="00692772">
        <w:rPr>
          <w:rFonts w:ascii="Times New Roman" w:hAnsi="Times New Roman" w:cs="Times New Roman"/>
          <w:b/>
          <w:sz w:val="24"/>
        </w:rPr>
        <w:t>last</w:t>
      </w:r>
      <w:proofErr w:type="spellEnd"/>
      <w:r w:rsidR="00950728">
        <w:rPr>
          <w:rFonts w:ascii="Times New Roman" w:hAnsi="Times New Roman" w:cs="Times New Roman"/>
          <w:b/>
          <w:sz w:val="24"/>
        </w:rPr>
        <w:t xml:space="preserve"> S.r.l.</w:t>
      </w:r>
    </w:p>
    <w:p w:rsidR="001A7ADA" w:rsidRDefault="001A7ADA" w:rsidP="00955714">
      <w:pPr>
        <w:spacing w:after="0" w:line="240" w:lineRule="auto"/>
        <w:jc w:val="both"/>
        <w:rPr>
          <w:rFonts w:ascii="Times New Roman" w:hAnsi="Times New Roman" w:cs="Times New Roman"/>
          <w:b/>
          <w:sz w:val="24"/>
        </w:rPr>
      </w:pPr>
    </w:p>
    <w:p w:rsidR="001D111F" w:rsidRDefault="001D111F" w:rsidP="00955714">
      <w:pPr>
        <w:spacing w:after="0" w:line="240" w:lineRule="auto"/>
        <w:jc w:val="both"/>
        <w:rPr>
          <w:rFonts w:ascii="Times New Roman" w:hAnsi="Times New Roman" w:cs="Times New Roman"/>
          <w:sz w:val="24"/>
        </w:rPr>
      </w:pPr>
      <w:r w:rsidRPr="001D111F">
        <w:rPr>
          <w:rFonts w:ascii="Times New Roman" w:hAnsi="Times New Roman" w:cs="Times New Roman"/>
          <w:b/>
          <w:sz w:val="24"/>
        </w:rPr>
        <w:t>RIFIUTI</w:t>
      </w:r>
      <w:r w:rsidRPr="001D111F">
        <w:rPr>
          <w:rFonts w:ascii="Times New Roman" w:hAnsi="Times New Roman" w:cs="Times New Roman"/>
          <w:sz w:val="24"/>
        </w:rPr>
        <w:t xml:space="preserve"> –</w:t>
      </w:r>
      <w:r w:rsidR="00C713B7">
        <w:rPr>
          <w:rFonts w:ascii="Times New Roman" w:hAnsi="Times New Roman" w:cs="Times New Roman"/>
          <w:sz w:val="24"/>
        </w:rPr>
        <w:t xml:space="preserve"> </w:t>
      </w:r>
      <w:r w:rsidR="001A7ADA">
        <w:rPr>
          <w:rFonts w:ascii="Times New Roman" w:hAnsi="Times New Roman" w:cs="Times New Roman"/>
          <w:sz w:val="24"/>
        </w:rPr>
        <w:t>I grandi contenitori in polietilene sono qualificabili come imballaggi?</w:t>
      </w:r>
      <w:r w:rsidRPr="001D111F">
        <w:rPr>
          <w:rFonts w:ascii="Times New Roman" w:hAnsi="Times New Roman" w:cs="Times New Roman"/>
          <w:sz w:val="24"/>
        </w:rPr>
        <w:t xml:space="preserve"> </w:t>
      </w:r>
    </w:p>
    <w:p w:rsidR="001A7ADA" w:rsidRDefault="001A7ADA" w:rsidP="00955714">
      <w:pPr>
        <w:spacing w:after="0" w:line="240" w:lineRule="auto"/>
        <w:jc w:val="both"/>
        <w:rPr>
          <w:rFonts w:ascii="Times New Roman" w:hAnsi="Times New Roman" w:cs="Times New Roman"/>
          <w:sz w:val="24"/>
        </w:rPr>
      </w:pPr>
    </w:p>
    <w:p w:rsidR="0056637D" w:rsidRDefault="001A7ADA" w:rsidP="00955714">
      <w:pPr>
        <w:autoSpaceDE w:val="0"/>
        <w:autoSpaceDN w:val="0"/>
        <w:adjustRightInd w:val="0"/>
        <w:spacing w:after="0" w:line="240" w:lineRule="auto"/>
        <w:jc w:val="both"/>
        <w:rPr>
          <w:rFonts w:ascii="Times New Roman" w:hAnsi="Times New Roman" w:cs="Times New Roman"/>
          <w:i/>
          <w:sz w:val="24"/>
        </w:rPr>
      </w:pPr>
      <w:r w:rsidRPr="001A7ADA">
        <w:rPr>
          <w:rFonts w:ascii="Times New Roman" w:hAnsi="Times New Roman" w:cs="Times New Roman"/>
          <w:i/>
          <w:sz w:val="24"/>
        </w:rPr>
        <w:t>I</w:t>
      </w:r>
      <w:r>
        <w:rPr>
          <w:rFonts w:ascii="Times New Roman" w:hAnsi="Times New Roman" w:cs="Times New Roman"/>
          <w:i/>
          <w:sz w:val="24"/>
        </w:rPr>
        <w:t xml:space="preserve"> </w:t>
      </w:r>
      <w:r w:rsidRPr="001A7ADA">
        <w:rPr>
          <w:rFonts w:ascii="Times New Roman" w:hAnsi="Times New Roman" w:cs="Times New Roman"/>
          <w:i/>
          <w:sz w:val="24"/>
        </w:rPr>
        <w:t xml:space="preserve">grandi contenitori in polietilene (c.d. </w:t>
      </w:r>
      <w:proofErr w:type="spellStart"/>
      <w:r w:rsidRPr="001A7ADA">
        <w:rPr>
          <w:rFonts w:ascii="Times New Roman" w:hAnsi="Times New Roman" w:cs="Times New Roman"/>
          <w:sz w:val="24"/>
        </w:rPr>
        <w:t>bins</w:t>
      </w:r>
      <w:proofErr w:type="spellEnd"/>
      <w:r w:rsidRPr="001A7ADA">
        <w:rPr>
          <w:rFonts w:ascii="Times New Roman" w:hAnsi="Times New Roman" w:cs="Times New Roman"/>
          <w:i/>
          <w:sz w:val="24"/>
        </w:rPr>
        <w:t xml:space="preserve">) </w:t>
      </w:r>
      <w:r w:rsidR="005A6D92">
        <w:rPr>
          <w:rFonts w:ascii="Times New Roman" w:hAnsi="Times New Roman" w:cs="Times New Roman"/>
          <w:i/>
          <w:iCs/>
          <w:sz w:val="24"/>
        </w:rPr>
        <w:t>possiedono</w:t>
      </w:r>
      <w:r w:rsidRPr="001A7ADA">
        <w:rPr>
          <w:rFonts w:ascii="Times New Roman" w:hAnsi="Times New Roman" w:cs="Times New Roman"/>
          <w:i/>
          <w:iCs/>
          <w:sz w:val="24"/>
        </w:rPr>
        <w:t xml:space="preserve"> caratteristiche costruttive </w:t>
      </w:r>
      <w:r w:rsidR="0056637D">
        <w:rPr>
          <w:rFonts w:ascii="Times New Roman" w:hAnsi="Times New Roman" w:cs="Times New Roman"/>
          <w:i/>
          <w:iCs/>
          <w:sz w:val="24"/>
        </w:rPr>
        <w:t>(alta resistenza meccanica, relativa stabilità al calore, buona tolleranza agli eventi atmosferici, condizioni igieniche sicure, resistenza alle basse temperature) che indicano come gli stessi</w:t>
      </w:r>
      <w:r w:rsidR="0038666C">
        <w:rPr>
          <w:rFonts w:ascii="Times New Roman" w:hAnsi="Times New Roman" w:cs="Times New Roman"/>
          <w:i/>
          <w:iCs/>
          <w:sz w:val="24"/>
        </w:rPr>
        <w:t xml:space="preserve"> siano stati progettati e fabbricati per resistere e durare a lungo. Tali </w:t>
      </w:r>
      <w:r w:rsidR="005A6D92">
        <w:rPr>
          <w:rFonts w:ascii="Times New Roman" w:hAnsi="Times New Roman" w:cs="Times New Roman"/>
          <w:i/>
          <w:iCs/>
          <w:sz w:val="24"/>
        </w:rPr>
        <w:t>caratteristiche non li rendono</w:t>
      </w:r>
      <w:r w:rsidR="00955714">
        <w:rPr>
          <w:rFonts w:ascii="Times New Roman" w:hAnsi="Times New Roman" w:cs="Times New Roman"/>
          <w:i/>
          <w:iCs/>
          <w:sz w:val="24"/>
        </w:rPr>
        <w:t xml:space="preserve"> pertanto</w:t>
      </w:r>
      <w:r w:rsidR="005A6D92">
        <w:rPr>
          <w:rFonts w:ascii="Times New Roman" w:hAnsi="Times New Roman" w:cs="Times New Roman"/>
          <w:i/>
          <w:iCs/>
          <w:sz w:val="24"/>
        </w:rPr>
        <w:t xml:space="preserve"> </w:t>
      </w:r>
      <w:r w:rsidR="0038666C">
        <w:rPr>
          <w:rFonts w:ascii="Times New Roman" w:hAnsi="Times New Roman" w:cs="Times New Roman"/>
          <w:i/>
          <w:iCs/>
          <w:sz w:val="24"/>
        </w:rPr>
        <w:t>compatibili</w:t>
      </w:r>
      <w:r w:rsidR="0056637D">
        <w:rPr>
          <w:rFonts w:ascii="Times New Roman" w:hAnsi="Times New Roman" w:cs="Times New Roman"/>
          <w:i/>
          <w:iCs/>
          <w:sz w:val="24"/>
        </w:rPr>
        <w:t xml:space="preserve"> </w:t>
      </w:r>
      <w:r w:rsidR="00955714">
        <w:rPr>
          <w:rFonts w:ascii="Times New Roman" w:hAnsi="Times New Roman" w:cs="Times New Roman"/>
          <w:i/>
          <w:iCs/>
          <w:sz w:val="24"/>
        </w:rPr>
        <w:t>con l’</w:t>
      </w:r>
      <w:r w:rsidR="0038666C" w:rsidRPr="001A7ADA">
        <w:rPr>
          <w:rFonts w:ascii="Times New Roman" w:hAnsi="Times New Roman" w:cs="Times New Roman"/>
          <w:i/>
          <w:iCs/>
          <w:sz w:val="24"/>
        </w:rPr>
        <w:t>utilizzo come mer</w:t>
      </w:r>
      <w:r w:rsidR="00955714">
        <w:rPr>
          <w:rFonts w:ascii="Times New Roman" w:hAnsi="Times New Roman" w:cs="Times New Roman"/>
          <w:i/>
          <w:iCs/>
          <w:sz w:val="24"/>
        </w:rPr>
        <w:t xml:space="preserve">i imballaggi, destinati a </w:t>
      </w:r>
      <w:r w:rsidR="00955714" w:rsidRPr="001A7ADA">
        <w:rPr>
          <w:rFonts w:ascii="Times New Roman" w:hAnsi="Times New Roman" w:cs="Times New Roman"/>
          <w:i/>
          <w:iCs/>
          <w:sz w:val="24"/>
        </w:rPr>
        <w:t>garantire un idoneo trasporto della merce nel circuito</w:t>
      </w:r>
      <w:r w:rsidR="00955714">
        <w:rPr>
          <w:rFonts w:ascii="Times New Roman" w:hAnsi="Times New Roman" w:cs="Times New Roman"/>
          <w:i/>
          <w:iCs/>
          <w:sz w:val="24"/>
        </w:rPr>
        <w:t xml:space="preserve"> </w:t>
      </w:r>
      <w:r w:rsidR="00955714" w:rsidRPr="001A7ADA">
        <w:rPr>
          <w:rFonts w:ascii="Times New Roman" w:hAnsi="Times New Roman" w:cs="Times New Roman"/>
          <w:i/>
          <w:iCs/>
          <w:sz w:val="24"/>
        </w:rPr>
        <w:t>produttore/utilizzatore/consumatore</w:t>
      </w:r>
      <w:r w:rsidR="00955714">
        <w:rPr>
          <w:rFonts w:ascii="Times New Roman" w:hAnsi="Times New Roman" w:cs="Times New Roman"/>
          <w:i/>
          <w:iCs/>
          <w:sz w:val="24"/>
        </w:rPr>
        <w:t xml:space="preserve">, </w:t>
      </w:r>
      <w:r w:rsidR="006E3C2D">
        <w:rPr>
          <w:rFonts w:ascii="Times New Roman" w:hAnsi="Times New Roman" w:cs="Times New Roman"/>
          <w:i/>
          <w:iCs/>
          <w:sz w:val="24"/>
        </w:rPr>
        <w:t>quanto piuttosto con un impiego</w:t>
      </w:r>
      <w:r w:rsidR="00955714">
        <w:rPr>
          <w:rFonts w:ascii="Times New Roman" w:hAnsi="Times New Roman" w:cs="Times New Roman"/>
          <w:i/>
          <w:iCs/>
          <w:sz w:val="24"/>
        </w:rPr>
        <w:t xml:space="preserve"> come </w:t>
      </w:r>
      <w:r w:rsidR="00955714" w:rsidRPr="001A7ADA">
        <w:rPr>
          <w:rFonts w:ascii="Times New Roman" w:hAnsi="Times New Roman" w:cs="Times New Roman"/>
          <w:i/>
          <w:iCs/>
          <w:sz w:val="24"/>
        </w:rPr>
        <w:t>ausilio duraturo all’attività dell’impresa</w:t>
      </w:r>
      <w:r w:rsidR="00955714">
        <w:rPr>
          <w:rFonts w:ascii="Times New Roman" w:hAnsi="Times New Roman" w:cs="Times New Roman"/>
          <w:i/>
          <w:iCs/>
          <w:sz w:val="24"/>
        </w:rPr>
        <w:t xml:space="preserve"> </w:t>
      </w:r>
      <w:r w:rsidR="00955714" w:rsidRPr="001A7ADA">
        <w:rPr>
          <w:rFonts w:ascii="Times New Roman" w:hAnsi="Times New Roman" w:cs="Times New Roman"/>
          <w:i/>
          <w:iCs/>
          <w:sz w:val="24"/>
        </w:rPr>
        <w:t>all’interno del ciclo produttivo</w:t>
      </w:r>
      <w:r w:rsidR="0038666C" w:rsidRPr="001A7ADA">
        <w:rPr>
          <w:rFonts w:ascii="Times New Roman" w:hAnsi="Times New Roman" w:cs="Times New Roman"/>
          <w:i/>
          <w:iCs/>
          <w:sz w:val="24"/>
        </w:rPr>
        <w:t>. Per quanto detto, considerato che i contenitori in oggetto non</w:t>
      </w:r>
      <w:r w:rsidR="0038666C">
        <w:rPr>
          <w:rFonts w:ascii="Times New Roman" w:hAnsi="Times New Roman" w:cs="Times New Roman"/>
          <w:i/>
          <w:iCs/>
          <w:sz w:val="24"/>
        </w:rPr>
        <w:t xml:space="preserve"> </w:t>
      </w:r>
      <w:r w:rsidR="0038666C" w:rsidRPr="001A7ADA">
        <w:rPr>
          <w:rFonts w:ascii="Times New Roman" w:hAnsi="Times New Roman" w:cs="Times New Roman"/>
          <w:i/>
          <w:iCs/>
          <w:sz w:val="24"/>
        </w:rPr>
        <w:t>costituiscono imballaggi</w:t>
      </w:r>
      <w:r w:rsidR="0038666C">
        <w:rPr>
          <w:rFonts w:ascii="Times New Roman" w:hAnsi="Times New Roman" w:cs="Times New Roman"/>
          <w:i/>
          <w:iCs/>
          <w:sz w:val="24"/>
        </w:rPr>
        <w:t xml:space="preserve">, </w:t>
      </w:r>
      <w:r w:rsidR="005A6D92">
        <w:rPr>
          <w:rFonts w:ascii="Times New Roman" w:hAnsi="Times New Roman" w:cs="Times New Roman"/>
          <w:i/>
          <w:iCs/>
          <w:sz w:val="24"/>
        </w:rPr>
        <w:t>dovrà trovare applicazione la</w:t>
      </w:r>
      <w:r w:rsidR="0038666C" w:rsidRPr="001A7ADA">
        <w:rPr>
          <w:rFonts w:ascii="Times New Roman" w:hAnsi="Times New Roman" w:cs="Times New Roman"/>
          <w:i/>
          <w:sz w:val="24"/>
        </w:rPr>
        <w:t xml:space="preserve"> disciplina ambientale del Consorzio</w:t>
      </w:r>
      <w:r w:rsidR="0038666C">
        <w:rPr>
          <w:rFonts w:ascii="Times New Roman" w:hAnsi="Times New Roman" w:cs="Times New Roman"/>
          <w:i/>
          <w:sz w:val="24"/>
        </w:rPr>
        <w:t xml:space="preserve"> </w:t>
      </w:r>
      <w:proofErr w:type="spellStart"/>
      <w:r w:rsidR="0038666C" w:rsidRPr="001A7ADA">
        <w:rPr>
          <w:rFonts w:ascii="Times New Roman" w:hAnsi="Times New Roman" w:cs="Times New Roman"/>
          <w:i/>
          <w:sz w:val="24"/>
        </w:rPr>
        <w:t>PolieCo</w:t>
      </w:r>
      <w:proofErr w:type="spellEnd"/>
      <w:r w:rsidR="0038666C" w:rsidRPr="001A7ADA">
        <w:rPr>
          <w:rFonts w:ascii="Times New Roman" w:hAnsi="Times New Roman" w:cs="Times New Roman"/>
          <w:i/>
          <w:sz w:val="24"/>
        </w:rPr>
        <w:t xml:space="preserve"> (art. 234 D.lgs. 152/06) e non quella del Consorzio CONAI (art. 224 D.lgs. 152/06)</w:t>
      </w:r>
      <w:r w:rsidR="00783A03">
        <w:rPr>
          <w:rFonts w:ascii="Times New Roman" w:hAnsi="Times New Roman" w:cs="Times New Roman"/>
          <w:i/>
          <w:sz w:val="24"/>
        </w:rPr>
        <w:t>.</w:t>
      </w:r>
    </w:p>
    <w:p w:rsidR="00955714" w:rsidRDefault="00955714" w:rsidP="00955714">
      <w:pPr>
        <w:autoSpaceDE w:val="0"/>
        <w:autoSpaceDN w:val="0"/>
        <w:adjustRightInd w:val="0"/>
        <w:spacing w:after="0" w:line="240" w:lineRule="auto"/>
        <w:jc w:val="both"/>
        <w:rPr>
          <w:rFonts w:ascii="Times New Roman" w:hAnsi="Times New Roman" w:cs="Times New Roman"/>
          <w:i/>
          <w:sz w:val="24"/>
        </w:rPr>
      </w:pPr>
    </w:p>
    <w:p w:rsidR="00955714" w:rsidRPr="00955714" w:rsidRDefault="00955714" w:rsidP="00955714">
      <w:pPr>
        <w:spacing w:after="0" w:line="240" w:lineRule="auto"/>
        <w:jc w:val="both"/>
        <w:rPr>
          <w:rFonts w:ascii="Times New Roman" w:hAnsi="Times New Roman" w:cs="Times New Roman"/>
          <w:b/>
          <w:sz w:val="24"/>
          <w:szCs w:val="24"/>
        </w:rPr>
      </w:pPr>
      <w:r w:rsidRPr="00955714">
        <w:rPr>
          <w:rFonts w:ascii="Times New Roman" w:hAnsi="Times New Roman" w:cs="Times New Roman"/>
          <w:b/>
          <w:sz w:val="24"/>
          <w:szCs w:val="24"/>
        </w:rPr>
        <w:t>Motivi della decisione</w:t>
      </w:r>
    </w:p>
    <w:p w:rsidR="00955714" w:rsidRDefault="00955714" w:rsidP="00955714">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Il Consorzio Nazionale Imballaggi (di seguito </w:t>
      </w:r>
      <w:proofErr w:type="spellStart"/>
      <w:r>
        <w:rPr>
          <w:rFonts w:ascii="Times New Roman" w:hAnsi="Times New Roman" w:cs="Times New Roman"/>
          <w:sz w:val="24"/>
          <w:szCs w:val="24"/>
        </w:rPr>
        <w:t>Conai</w:t>
      </w:r>
      <w:proofErr w:type="spellEnd"/>
      <w:r>
        <w:rPr>
          <w:rFonts w:ascii="Times New Roman" w:hAnsi="Times New Roman" w:cs="Times New Roman"/>
          <w:sz w:val="24"/>
          <w:szCs w:val="24"/>
        </w:rPr>
        <w:t xml:space="preserve">) conveniva in giudizio la </w:t>
      </w:r>
      <w:proofErr w:type="spellStart"/>
      <w:r>
        <w:rPr>
          <w:rFonts w:ascii="Times New Roman" w:hAnsi="Times New Roman" w:cs="Times New Roman"/>
          <w:sz w:val="24"/>
          <w:szCs w:val="24"/>
        </w:rPr>
        <w:t>Capp</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Plast</w:t>
      </w:r>
      <w:proofErr w:type="spellEnd"/>
      <w:r>
        <w:rPr>
          <w:rFonts w:ascii="Times New Roman" w:hAnsi="Times New Roman" w:cs="Times New Roman"/>
          <w:sz w:val="24"/>
          <w:szCs w:val="24"/>
        </w:rPr>
        <w:t xml:space="preserve"> </w:t>
      </w:r>
      <w:r w:rsidR="00692772">
        <w:rPr>
          <w:rFonts w:ascii="Times New Roman" w:hAnsi="Times New Roman" w:cs="Times New Roman"/>
          <w:sz w:val="24"/>
          <w:szCs w:val="24"/>
        </w:rPr>
        <w:t>S.r.l.</w:t>
      </w:r>
      <w:r>
        <w:rPr>
          <w:rFonts w:ascii="Times New Roman" w:hAnsi="Times New Roman" w:cs="Times New Roman"/>
          <w:sz w:val="24"/>
          <w:szCs w:val="24"/>
        </w:rPr>
        <w:t xml:space="preserve"> chiedendo:</w:t>
      </w:r>
    </w:p>
    <w:p w:rsidR="00955714" w:rsidRDefault="00955714" w:rsidP="00955714">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previo accertamento da parte della società convenuta della violazione, in relazione ai beni dalla stessa prodotti dal novembre 1998, agli obblighi di dichiarazione dei quantitativi di imballaggi ceduti e di versamento del relativo contributo ambientale, di condannare la società </w:t>
      </w:r>
      <w:proofErr w:type="spellStart"/>
      <w:r>
        <w:rPr>
          <w:rFonts w:ascii="Times New Roman" w:hAnsi="Times New Roman" w:cs="Times New Roman"/>
          <w:sz w:val="24"/>
          <w:szCs w:val="24"/>
        </w:rPr>
        <w:t>Capp</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Plast</w:t>
      </w:r>
      <w:proofErr w:type="spellEnd"/>
      <w:r>
        <w:rPr>
          <w:rFonts w:ascii="Times New Roman" w:hAnsi="Times New Roman" w:cs="Times New Roman"/>
          <w:sz w:val="24"/>
          <w:szCs w:val="24"/>
        </w:rPr>
        <w:t xml:space="preserve"> al pagamento di detto contributo, oltre agli interessi, dalle singole scadenze al saldo, al tasso indicato nel regolamento </w:t>
      </w:r>
      <w:proofErr w:type="spellStart"/>
      <w:r>
        <w:rPr>
          <w:rFonts w:ascii="Times New Roman" w:hAnsi="Times New Roman" w:cs="Times New Roman"/>
          <w:sz w:val="24"/>
          <w:szCs w:val="24"/>
        </w:rPr>
        <w:t>Conai</w:t>
      </w:r>
      <w:proofErr w:type="spellEnd"/>
      <w:r>
        <w:rPr>
          <w:rFonts w:ascii="Times New Roman" w:hAnsi="Times New Roman" w:cs="Times New Roman"/>
          <w:sz w:val="24"/>
          <w:szCs w:val="24"/>
        </w:rPr>
        <w:t>, nonché alla pubblicazione della sentenza su tre quotidiani a diffusione nazionale, di cui uno economico.</w:t>
      </w:r>
    </w:p>
    <w:p w:rsidR="00955714" w:rsidRDefault="00955714" w:rsidP="00955714">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La </w:t>
      </w:r>
      <w:proofErr w:type="spellStart"/>
      <w:r>
        <w:rPr>
          <w:rFonts w:ascii="Times New Roman" w:hAnsi="Times New Roman" w:cs="Times New Roman"/>
          <w:sz w:val="24"/>
          <w:szCs w:val="24"/>
        </w:rPr>
        <w:t>Capp</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Plast</w:t>
      </w:r>
      <w:proofErr w:type="spellEnd"/>
      <w:r>
        <w:rPr>
          <w:rFonts w:ascii="Times New Roman" w:hAnsi="Times New Roman" w:cs="Times New Roman"/>
          <w:sz w:val="24"/>
          <w:szCs w:val="24"/>
        </w:rPr>
        <w:t xml:space="preserve"> </w:t>
      </w:r>
      <w:r w:rsidR="00692772">
        <w:rPr>
          <w:rFonts w:ascii="Times New Roman" w:hAnsi="Times New Roman" w:cs="Times New Roman"/>
          <w:sz w:val="24"/>
          <w:szCs w:val="24"/>
        </w:rPr>
        <w:t>S.r.l.</w:t>
      </w:r>
      <w:r>
        <w:rPr>
          <w:rFonts w:ascii="Times New Roman" w:hAnsi="Times New Roman" w:cs="Times New Roman"/>
          <w:sz w:val="24"/>
          <w:szCs w:val="24"/>
        </w:rPr>
        <w:t xml:space="preserve"> si costituiva in giudizio e chiamava in causa il Consorzio per il Riciclaggio dei Rifiuti dei Beni in Polietilene (di seguito </w:t>
      </w:r>
      <w:proofErr w:type="spellStart"/>
      <w:r>
        <w:rPr>
          <w:rFonts w:ascii="Times New Roman" w:hAnsi="Times New Roman" w:cs="Times New Roman"/>
          <w:sz w:val="24"/>
          <w:szCs w:val="24"/>
        </w:rPr>
        <w:t>PolieCo</w:t>
      </w:r>
      <w:proofErr w:type="spellEnd"/>
      <w:r>
        <w:rPr>
          <w:rFonts w:ascii="Times New Roman" w:hAnsi="Times New Roman" w:cs="Times New Roman"/>
          <w:sz w:val="24"/>
          <w:szCs w:val="24"/>
        </w:rPr>
        <w:t xml:space="preserve">) ed il Consorzio Nazionale per la Raccolta, il Riciclaggio e il Recupero dei Rifiuti di Imballaggi in Plastica </w:t>
      </w:r>
      <w:r w:rsidR="00810541">
        <w:rPr>
          <w:rFonts w:ascii="Times New Roman" w:hAnsi="Times New Roman" w:cs="Times New Roman"/>
          <w:sz w:val="24"/>
          <w:szCs w:val="24"/>
        </w:rPr>
        <w:t>(</w:t>
      </w:r>
      <w:r>
        <w:rPr>
          <w:rFonts w:ascii="Times New Roman" w:hAnsi="Times New Roman" w:cs="Times New Roman"/>
          <w:sz w:val="24"/>
          <w:szCs w:val="24"/>
        </w:rPr>
        <w:t xml:space="preserve">di seguito Corepla), quest’ultimo nella sua qualità di consorzio di filiera della </w:t>
      </w:r>
      <w:proofErr w:type="spellStart"/>
      <w:r>
        <w:rPr>
          <w:rFonts w:ascii="Times New Roman" w:hAnsi="Times New Roman" w:cs="Times New Roman"/>
          <w:sz w:val="24"/>
          <w:szCs w:val="24"/>
        </w:rPr>
        <w:t>Conai</w:t>
      </w:r>
      <w:proofErr w:type="spellEnd"/>
      <w:r>
        <w:rPr>
          <w:rFonts w:ascii="Times New Roman" w:hAnsi="Times New Roman" w:cs="Times New Roman"/>
          <w:sz w:val="24"/>
          <w:szCs w:val="24"/>
        </w:rPr>
        <w:t xml:space="preserve"> al quale essa convenuta aveva aderito ed a cui aveva effettuato versamenti periodici di contributi.</w:t>
      </w:r>
    </w:p>
    <w:p w:rsidR="00955714" w:rsidRDefault="00955714" w:rsidP="00955714">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Detta società convenuta eccepiva in via preliminare, l’incompetenza del Tribunale di Roma in favore del Tribunale di Prato o di Milano, nonché la prescrizione quinquennale, ex. art. 2948 n. 4 c.c., del diritto alla riscossione periodica dei contributi ambientali; nel merito, previo accertamento che i “grossi contenitori” prodotti da essa convenuta sono esenti dal pagamento del contributo </w:t>
      </w:r>
      <w:proofErr w:type="spellStart"/>
      <w:r>
        <w:rPr>
          <w:rFonts w:ascii="Times New Roman" w:hAnsi="Times New Roman" w:cs="Times New Roman"/>
          <w:sz w:val="24"/>
          <w:szCs w:val="24"/>
        </w:rPr>
        <w:t>Conai</w:t>
      </w:r>
      <w:proofErr w:type="spellEnd"/>
      <w:r>
        <w:rPr>
          <w:rFonts w:ascii="Times New Roman" w:hAnsi="Times New Roman" w:cs="Times New Roman"/>
          <w:sz w:val="24"/>
          <w:szCs w:val="24"/>
        </w:rPr>
        <w:t>, di rigettare la domanda attorea.</w:t>
      </w:r>
    </w:p>
    <w:p w:rsidR="00955714" w:rsidRDefault="00955714" w:rsidP="00955714">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In caso di accoglimento della domanda attorea, chiedeva di condannare il Consorzio </w:t>
      </w:r>
      <w:proofErr w:type="spellStart"/>
      <w:r>
        <w:rPr>
          <w:rFonts w:ascii="Times New Roman" w:hAnsi="Times New Roman" w:cs="Times New Roman"/>
          <w:sz w:val="24"/>
          <w:szCs w:val="24"/>
        </w:rPr>
        <w:t>PolieCo</w:t>
      </w:r>
      <w:proofErr w:type="spellEnd"/>
      <w:r>
        <w:rPr>
          <w:rFonts w:ascii="Times New Roman" w:hAnsi="Times New Roman" w:cs="Times New Roman"/>
          <w:sz w:val="24"/>
          <w:szCs w:val="24"/>
        </w:rPr>
        <w:t xml:space="preserve"> a tenerla indenne, nonché a condannarlo alla restituzione di tutte le somme ricevute a titolo di contributo per il recupero e riciclaggio dei predetti grossi contenitori.</w:t>
      </w:r>
    </w:p>
    <w:p w:rsidR="00955714" w:rsidRDefault="00955714" w:rsidP="00955714">
      <w:pPr>
        <w:spacing w:after="0" w:line="240" w:lineRule="auto"/>
        <w:jc w:val="both"/>
        <w:rPr>
          <w:rFonts w:ascii="Times New Roman" w:hAnsi="Times New Roman" w:cs="Times New Roman"/>
          <w:sz w:val="24"/>
          <w:szCs w:val="24"/>
        </w:rPr>
      </w:pPr>
    </w:p>
    <w:p w:rsidR="00955714" w:rsidRDefault="00955714" w:rsidP="00955714">
      <w:pPr>
        <w:spacing w:after="0" w:line="240" w:lineRule="auto"/>
        <w:jc w:val="both"/>
        <w:rPr>
          <w:rFonts w:ascii="Times New Roman" w:hAnsi="Times New Roman" w:cs="Times New Roman"/>
          <w:sz w:val="24"/>
          <w:szCs w:val="24"/>
        </w:rPr>
      </w:pPr>
      <w:r>
        <w:rPr>
          <w:rFonts w:ascii="Times New Roman" w:hAnsi="Times New Roman" w:cs="Times New Roman"/>
          <w:sz w:val="24"/>
          <w:szCs w:val="24"/>
        </w:rPr>
        <w:t>[</w:t>
      </w:r>
      <w:proofErr w:type="gramStart"/>
      <w:r w:rsidR="00CC1B5F">
        <w:rPr>
          <w:rFonts w:ascii="Times New Roman" w:hAnsi="Times New Roman" w:cs="Times New Roman"/>
          <w:sz w:val="24"/>
          <w:szCs w:val="24"/>
        </w:rPr>
        <w:t>o</w:t>
      </w:r>
      <w:r>
        <w:rPr>
          <w:rFonts w:ascii="Times New Roman" w:hAnsi="Times New Roman" w:cs="Times New Roman"/>
          <w:sz w:val="24"/>
          <w:szCs w:val="24"/>
        </w:rPr>
        <w:t>missis</w:t>
      </w:r>
      <w:proofErr w:type="gramEnd"/>
      <w:r>
        <w:rPr>
          <w:rFonts w:ascii="Times New Roman" w:hAnsi="Times New Roman" w:cs="Times New Roman"/>
          <w:sz w:val="24"/>
          <w:szCs w:val="24"/>
        </w:rPr>
        <w:t>]</w:t>
      </w:r>
    </w:p>
    <w:p w:rsidR="00CC1B5F" w:rsidRDefault="00CC1B5F" w:rsidP="00955714">
      <w:pPr>
        <w:spacing w:after="0" w:line="240" w:lineRule="auto"/>
        <w:jc w:val="both"/>
        <w:rPr>
          <w:rFonts w:ascii="Times New Roman" w:hAnsi="Times New Roman" w:cs="Times New Roman"/>
          <w:sz w:val="24"/>
          <w:szCs w:val="24"/>
        </w:rPr>
      </w:pPr>
    </w:p>
    <w:p w:rsidR="00955714" w:rsidRDefault="00955714" w:rsidP="00955714">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Il Consorzio Corepla si costituiva in giudizio chiedendo di accogliere le domande avanzate dalla </w:t>
      </w:r>
      <w:proofErr w:type="spellStart"/>
      <w:r>
        <w:rPr>
          <w:rFonts w:ascii="Times New Roman" w:hAnsi="Times New Roman" w:cs="Times New Roman"/>
          <w:sz w:val="24"/>
          <w:szCs w:val="24"/>
        </w:rPr>
        <w:t>Conai</w:t>
      </w:r>
      <w:proofErr w:type="spellEnd"/>
      <w:r>
        <w:rPr>
          <w:rFonts w:ascii="Times New Roman" w:hAnsi="Times New Roman" w:cs="Times New Roman"/>
          <w:sz w:val="24"/>
          <w:szCs w:val="24"/>
        </w:rPr>
        <w:t xml:space="preserve"> nei confronti della società </w:t>
      </w:r>
      <w:proofErr w:type="spellStart"/>
      <w:r>
        <w:rPr>
          <w:rFonts w:ascii="Times New Roman" w:hAnsi="Times New Roman" w:cs="Times New Roman"/>
          <w:sz w:val="24"/>
          <w:szCs w:val="24"/>
        </w:rPr>
        <w:t>Capp</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Plast</w:t>
      </w:r>
      <w:proofErr w:type="spellEnd"/>
      <w:r>
        <w:rPr>
          <w:rFonts w:ascii="Times New Roman" w:hAnsi="Times New Roman" w:cs="Times New Roman"/>
          <w:sz w:val="24"/>
          <w:szCs w:val="24"/>
        </w:rPr>
        <w:t>, consentendo ad essa chiamata in causa di acquisire la parte di contributo ambientale ad esso spettante.</w:t>
      </w:r>
    </w:p>
    <w:p w:rsidR="00955714" w:rsidRDefault="00955714" w:rsidP="00955714">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Il Consorzio </w:t>
      </w:r>
      <w:proofErr w:type="spellStart"/>
      <w:r>
        <w:rPr>
          <w:rFonts w:ascii="Times New Roman" w:hAnsi="Times New Roman" w:cs="Times New Roman"/>
          <w:sz w:val="24"/>
          <w:szCs w:val="24"/>
        </w:rPr>
        <w:t>PolieCo</w:t>
      </w:r>
      <w:proofErr w:type="spellEnd"/>
      <w:r>
        <w:rPr>
          <w:rFonts w:ascii="Times New Roman" w:hAnsi="Times New Roman" w:cs="Times New Roman"/>
          <w:sz w:val="24"/>
          <w:szCs w:val="24"/>
        </w:rPr>
        <w:t xml:space="preserve"> si costituiva in giudizio chiedendo, come precisato nella prima memoria ex. art. 183 VI comma </w:t>
      </w:r>
      <w:proofErr w:type="spellStart"/>
      <w:r>
        <w:rPr>
          <w:rFonts w:ascii="Times New Roman" w:hAnsi="Times New Roman" w:cs="Times New Roman"/>
          <w:sz w:val="24"/>
          <w:szCs w:val="24"/>
        </w:rPr>
        <w:t>c.p.c.</w:t>
      </w:r>
      <w:proofErr w:type="spellEnd"/>
      <w:r>
        <w:rPr>
          <w:rFonts w:ascii="Times New Roman" w:hAnsi="Times New Roman" w:cs="Times New Roman"/>
          <w:sz w:val="24"/>
          <w:szCs w:val="24"/>
        </w:rPr>
        <w:t>:</w:t>
      </w:r>
    </w:p>
    <w:p w:rsidR="00CC1B5F" w:rsidRDefault="00CC1B5F" w:rsidP="00955714">
      <w:pPr>
        <w:spacing w:after="0" w:line="240" w:lineRule="auto"/>
        <w:jc w:val="both"/>
        <w:rPr>
          <w:rFonts w:ascii="Times New Roman" w:hAnsi="Times New Roman" w:cs="Times New Roman"/>
          <w:sz w:val="24"/>
          <w:szCs w:val="24"/>
        </w:rPr>
      </w:pPr>
    </w:p>
    <w:p w:rsidR="00955714" w:rsidRDefault="00955714" w:rsidP="00955714">
      <w:pPr>
        <w:spacing w:after="0" w:line="240" w:lineRule="auto"/>
        <w:jc w:val="both"/>
        <w:rPr>
          <w:rFonts w:ascii="Times New Roman" w:hAnsi="Times New Roman" w:cs="Times New Roman"/>
          <w:sz w:val="24"/>
          <w:szCs w:val="24"/>
        </w:rPr>
      </w:pPr>
      <w:r>
        <w:rPr>
          <w:rFonts w:ascii="Times New Roman" w:hAnsi="Times New Roman" w:cs="Times New Roman"/>
          <w:sz w:val="24"/>
          <w:szCs w:val="24"/>
        </w:rPr>
        <w:t>[</w:t>
      </w:r>
      <w:proofErr w:type="gramStart"/>
      <w:r>
        <w:rPr>
          <w:rFonts w:ascii="Times New Roman" w:hAnsi="Times New Roman" w:cs="Times New Roman"/>
          <w:sz w:val="24"/>
          <w:szCs w:val="24"/>
        </w:rPr>
        <w:t>omissis</w:t>
      </w:r>
      <w:proofErr w:type="gramEnd"/>
      <w:r>
        <w:rPr>
          <w:rFonts w:ascii="Times New Roman" w:hAnsi="Times New Roman" w:cs="Times New Roman"/>
          <w:sz w:val="24"/>
          <w:szCs w:val="24"/>
        </w:rPr>
        <w:t>]</w:t>
      </w:r>
    </w:p>
    <w:p w:rsidR="00CC1B5F" w:rsidRDefault="00CC1B5F" w:rsidP="00955714">
      <w:pPr>
        <w:spacing w:after="0" w:line="240" w:lineRule="auto"/>
        <w:jc w:val="both"/>
        <w:rPr>
          <w:rFonts w:ascii="Times New Roman" w:hAnsi="Times New Roman" w:cs="Times New Roman"/>
          <w:sz w:val="24"/>
          <w:szCs w:val="24"/>
        </w:rPr>
      </w:pPr>
    </w:p>
    <w:p w:rsidR="00955714" w:rsidRDefault="00CC1B5F" w:rsidP="00955714">
      <w:pPr>
        <w:spacing w:after="0" w:line="240" w:lineRule="auto"/>
        <w:jc w:val="both"/>
        <w:rPr>
          <w:rFonts w:ascii="Times New Roman" w:hAnsi="Times New Roman" w:cs="Times New Roman"/>
          <w:sz w:val="24"/>
          <w:szCs w:val="24"/>
        </w:rPr>
      </w:pPr>
      <w:proofErr w:type="gramStart"/>
      <w:r>
        <w:rPr>
          <w:rFonts w:ascii="Times New Roman" w:hAnsi="Times New Roman" w:cs="Times New Roman"/>
          <w:sz w:val="24"/>
          <w:szCs w:val="24"/>
        </w:rPr>
        <w:t>n</w:t>
      </w:r>
      <w:r w:rsidR="00955714">
        <w:rPr>
          <w:rFonts w:ascii="Times New Roman" w:hAnsi="Times New Roman" w:cs="Times New Roman"/>
          <w:sz w:val="24"/>
          <w:szCs w:val="24"/>
        </w:rPr>
        <w:t>el</w:t>
      </w:r>
      <w:proofErr w:type="gramEnd"/>
      <w:r w:rsidR="00955714">
        <w:rPr>
          <w:rFonts w:ascii="Times New Roman" w:hAnsi="Times New Roman" w:cs="Times New Roman"/>
          <w:sz w:val="24"/>
          <w:szCs w:val="24"/>
        </w:rPr>
        <w:t xml:space="preserve"> merito in via principale, di rigettare tutte le domande avversarie in quanto improcedibili ed inammissibili ed, in subordine, previo accertamento della legittimità dei pagamenti dei contributi </w:t>
      </w:r>
      <w:r w:rsidR="00955714">
        <w:rPr>
          <w:rFonts w:ascii="Times New Roman" w:hAnsi="Times New Roman" w:cs="Times New Roman"/>
          <w:sz w:val="24"/>
          <w:szCs w:val="24"/>
        </w:rPr>
        <w:lastRenderedPageBreak/>
        <w:t xml:space="preserve">effettuati dalla società </w:t>
      </w:r>
      <w:proofErr w:type="spellStart"/>
      <w:r w:rsidR="00955714">
        <w:rPr>
          <w:rFonts w:ascii="Times New Roman" w:hAnsi="Times New Roman" w:cs="Times New Roman"/>
          <w:sz w:val="24"/>
          <w:szCs w:val="24"/>
        </w:rPr>
        <w:t>Capp</w:t>
      </w:r>
      <w:proofErr w:type="spellEnd"/>
      <w:r w:rsidR="00955714">
        <w:rPr>
          <w:rFonts w:ascii="Times New Roman" w:hAnsi="Times New Roman" w:cs="Times New Roman"/>
          <w:sz w:val="24"/>
          <w:szCs w:val="24"/>
        </w:rPr>
        <w:t xml:space="preserve"> </w:t>
      </w:r>
      <w:proofErr w:type="spellStart"/>
      <w:r w:rsidR="00955714">
        <w:rPr>
          <w:rFonts w:ascii="Times New Roman" w:hAnsi="Times New Roman" w:cs="Times New Roman"/>
          <w:sz w:val="24"/>
          <w:szCs w:val="24"/>
        </w:rPr>
        <w:t>Plast</w:t>
      </w:r>
      <w:proofErr w:type="spellEnd"/>
      <w:r w:rsidR="00955714">
        <w:rPr>
          <w:rFonts w:ascii="Times New Roman" w:hAnsi="Times New Roman" w:cs="Times New Roman"/>
          <w:sz w:val="24"/>
          <w:szCs w:val="24"/>
        </w:rPr>
        <w:t xml:space="preserve"> ed esso Consorzio in relazione ai “grandi contenitori o </w:t>
      </w:r>
      <w:proofErr w:type="spellStart"/>
      <w:r w:rsidR="00955714" w:rsidRPr="005E169B">
        <w:rPr>
          <w:rFonts w:ascii="Times New Roman" w:hAnsi="Times New Roman" w:cs="Times New Roman"/>
          <w:i/>
          <w:sz w:val="24"/>
          <w:szCs w:val="24"/>
        </w:rPr>
        <w:t>bins</w:t>
      </w:r>
      <w:proofErr w:type="spellEnd"/>
      <w:r w:rsidR="00955714">
        <w:rPr>
          <w:rFonts w:ascii="Times New Roman" w:hAnsi="Times New Roman" w:cs="Times New Roman"/>
          <w:sz w:val="24"/>
          <w:szCs w:val="24"/>
        </w:rPr>
        <w:t xml:space="preserve">” in polietilene, di rigettare la domanda avanzata dalla </w:t>
      </w:r>
      <w:proofErr w:type="spellStart"/>
      <w:r w:rsidR="00955714">
        <w:rPr>
          <w:rFonts w:ascii="Times New Roman" w:hAnsi="Times New Roman" w:cs="Times New Roman"/>
          <w:sz w:val="24"/>
          <w:szCs w:val="24"/>
        </w:rPr>
        <w:t>Conai</w:t>
      </w:r>
      <w:proofErr w:type="spellEnd"/>
      <w:r w:rsidR="00955714">
        <w:rPr>
          <w:rFonts w:ascii="Times New Roman" w:hAnsi="Times New Roman" w:cs="Times New Roman"/>
          <w:sz w:val="24"/>
          <w:szCs w:val="24"/>
        </w:rPr>
        <w:t xml:space="preserve"> e la domanda di garanzia ava</w:t>
      </w:r>
      <w:r w:rsidR="005E169B">
        <w:rPr>
          <w:rFonts w:ascii="Times New Roman" w:hAnsi="Times New Roman" w:cs="Times New Roman"/>
          <w:sz w:val="24"/>
          <w:szCs w:val="24"/>
        </w:rPr>
        <w:t>n</w:t>
      </w:r>
      <w:r w:rsidR="00955714">
        <w:rPr>
          <w:rFonts w:ascii="Times New Roman" w:hAnsi="Times New Roman" w:cs="Times New Roman"/>
          <w:sz w:val="24"/>
          <w:szCs w:val="24"/>
        </w:rPr>
        <w:t xml:space="preserve">zata dalla società </w:t>
      </w:r>
      <w:proofErr w:type="spellStart"/>
      <w:r w:rsidR="00955714">
        <w:rPr>
          <w:rFonts w:ascii="Times New Roman" w:hAnsi="Times New Roman" w:cs="Times New Roman"/>
          <w:sz w:val="24"/>
          <w:szCs w:val="24"/>
        </w:rPr>
        <w:t>Capp</w:t>
      </w:r>
      <w:proofErr w:type="spellEnd"/>
      <w:r w:rsidR="00955714">
        <w:rPr>
          <w:rFonts w:ascii="Times New Roman" w:hAnsi="Times New Roman" w:cs="Times New Roman"/>
          <w:sz w:val="24"/>
          <w:szCs w:val="24"/>
        </w:rPr>
        <w:t xml:space="preserve"> </w:t>
      </w:r>
      <w:proofErr w:type="spellStart"/>
      <w:r w:rsidR="00955714">
        <w:rPr>
          <w:rFonts w:ascii="Times New Roman" w:hAnsi="Times New Roman" w:cs="Times New Roman"/>
          <w:sz w:val="24"/>
          <w:szCs w:val="24"/>
        </w:rPr>
        <w:t>Plast</w:t>
      </w:r>
      <w:proofErr w:type="spellEnd"/>
      <w:r w:rsidR="00955714">
        <w:rPr>
          <w:rFonts w:ascii="Times New Roman" w:hAnsi="Times New Roman" w:cs="Times New Roman"/>
          <w:sz w:val="24"/>
          <w:szCs w:val="24"/>
        </w:rPr>
        <w:t>.</w:t>
      </w:r>
    </w:p>
    <w:p w:rsidR="00955714" w:rsidRDefault="00955714" w:rsidP="00955714">
      <w:pPr>
        <w:spacing w:after="0" w:line="240" w:lineRule="auto"/>
        <w:jc w:val="both"/>
        <w:rPr>
          <w:rFonts w:ascii="Times New Roman" w:hAnsi="Times New Roman" w:cs="Times New Roman"/>
          <w:sz w:val="24"/>
          <w:szCs w:val="24"/>
        </w:rPr>
      </w:pPr>
    </w:p>
    <w:p w:rsidR="00955714" w:rsidRDefault="00955714" w:rsidP="00955714">
      <w:pPr>
        <w:spacing w:after="0" w:line="240" w:lineRule="auto"/>
        <w:jc w:val="both"/>
        <w:rPr>
          <w:rFonts w:ascii="Times New Roman" w:hAnsi="Times New Roman" w:cs="Times New Roman"/>
          <w:sz w:val="24"/>
          <w:szCs w:val="24"/>
        </w:rPr>
      </w:pPr>
      <w:r>
        <w:rPr>
          <w:rFonts w:ascii="Times New Roman" w:hAnsi="Times New Roman" w:cs="Times New Roman"/>
          <w:sz w:val="24"/>
          <w:szCs w:val="24"/>
        </w:rPr>
        <w:t>[</w:t>
      </w:r>
      <w:proofErr w:type="gramStart"/>
      <w:r>
        <w:rPr>
          <w:rFonts w:ascii="Times New Roman" w:hAnsi="Times New Roman" w:cs="Times New Roman"/>
          <w:sz w:val="24"/>
          <w:szCs w:val="24"/>
        </w:rPr>
        <w:t>omissis</w:t>
      </w:r>
      <w:proofErr w:type="gramEnd"/>
      <w:r>
        <w:rPr>
          <w:rFonts w:ascii="Times New Roman" w:hAnsi="Times New Roman" w:cs="Times New Roman"/>
          <w:sz w:val="24"/>
          <w:szCs w:val="24"/>
        </w:rPr>
        <w:t>]</w:t>
      </w:r>
    </w:p>
    <w:p w:rsidR="00CC1B5F" w:rsidRDefault="00CC1B5F" w:rsidP="00955714">
      <w:pPr>
        <w:spacing w:after="0" w:line="240" w:lineRule="auto"/>
        <w:jc w:val="both"/>
        <w:rPr>
          <w:rFonts w:ascii="Times New Roman" w:hAnsi="Times New Roman" w:cs="Times New Roman"/>
          <w:sz w:val="24"/>
          <w:szCs w:val="24"/>
        </w:rPr>
      </w:pPr>
    </w:p>
    <w:p w:rsidR="00955714" w:rsidRDefault="00955714" w:rsidP="00955714">
      <w:pPr>
        <w:spacing w:after="0" w:line="240" w:lineRule="auto"/>
        <w:jc w:val="both"/>
        <w:rPr>
          <w:rFonts w:ascii="Times New Roman" w:hAnsi="Times New Roman" w:cs="Times New Roman"/>
          <w:sz w:val="24"/>
          <w:szCs w:val="24"/>
        </w:rPr>
      </w:pPr>
      <w:r>
        <w:rPr>
          <w:rFonts w:ascii="Times New Roman" w:hAnsi="Times New Roman" w:cs="Times New Roman"/>
          <w:sz w:val="24"/>
          <w:szCs w:val="24"/>
        </w:rPr>
        <w:t>Va, preliminarmente, rigettata l’eccezione di incompetenza territoriale, essendo competente il Tribunale di Roma sia in relazione al luogo ove è sorta l’obbligazione sia in relazione al luogo dove l’obbligazione deve essere eseguita.</w:t>
      </w:r>
    </w:p>
    <w:p w:rsidR="00CC1B5F" w:rsidRDefault="00CC1B5F" w:rsidP="00955714">
      <w:pPr>
        <w:spacing w:after="0" w:line="240" w:lineRule="auto"/>
        <w:jc w:val="both"/>
        <w:rPr>
          <w:rFonts w:ascii="Times New Roman" w:hAnsi="Times New Roman" w:cs="Times New Roman"/>
          <w:sz w:val="24"/>
          <w:szCs w:val="24"/>
        </w:rPr>
      </w:pPr>
    </w:p>
    <w:p w:rsidR="00955714" w:rsidRDefault="00955714" w:rsidP="00955714">
      <w:pPr>
        <w:spacing w:after="0" w:line="240" w:lineRule="auto"/>
        <w:jc w:val="both"/>
        <w:rPr>
          <w:rFonts w:ascii="Times New Roman" w:hAnsi="Times New Roman" w:cs="Times New Roman"/>
          <w:sz w:val="24"/>
          <w:szCs w:val="24"/>
        </w:rPr>
      </w:pPr>
      <w:r>
        <w:rPr>
          <w:rFonts w:ascii="Times New Roman" w:hAnsi="Times New Roman" w:cs="Times New Roman"/>
          <w:sz w:val="24"/>
          <w:szCs w:val="24"/>
        </w:rPr>
        <w:t>[</w:t>
      </w:r>
      <w:proofErr w:type="gramStart"/>
      <w:r>
        <w:rPr>
          <w:rFonts w:ascii="Times New Roman" w:hAnsi="Times New Roman" w:cs="Times New Roman"/>
          <w:sz w:val="24"/>
          <w:szCs w:val="24"/>
        </w:rPr>
        <w:t>omissis</w:t>
      </w:r>
      <w:proofErr w:type="gramEnd"/>
      <w:r>
        <w:rPr>
          <w:rFonts w:ascii="Times New Roman" w:hAnsi="Times New Roman" w:cs="Times New Roman"/>
          <w:sz w:val="24"/>
          <w:szCs w:val="24"/>
        </w:rPr>
        <w:t>]</w:t>
      </w:r>
    </w:p>
    <w:p w:rsidR="00CC1B5F" w:rsidRDefault="00CC1B5F" w:rsidP="00955714">
      <w:pPr>
        <w:spacing w:after="0" w:line="240" w:lineRule="auto"/>
        <w:jc w:val="both"/>
        <w:rPr>
          <w:rFonts w:ascii="Times New Roman" w:hAnsi="Times New Roman" w:cs="Times New Roman"/>
          <w:sz w:val="24"/>
          <w:szCs w:val="24"/>
        </w:rPr>
      </w:pPr>
    </w:p>
    <w:p w:rsidR="00955714" w:rsidRDefault="00955714" w:rsidP="00955714">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Nel merito, va osservato che l’oggetto della controversia, per come sopra visto, è stato limitato ai beni prodotti dalla società </w:t>
      </w:r>
      <w:proofErr w:type="spellStart"/>
      <w:r>
        <w:rPr>
          <w:rFonts w:ascii="Times New Roman" w:hAnsi="Times New Roman" w:cs="Times New Roman"/>
          <w:sz w:val="24"/>
          <w:szCs w:val="24"/>
        </w:rPr>
        <w:t>Capp</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Plast</w:t>
      </w:r>
      <w:proofErr w:type="spellEnd"/>
      <w:r>
        <w:rPr>
          <w:rFonts w:ascii="Times New Roman" w:hAnsi="Times New Roman" w:cs="Times New Roman"/>
          <w:sz w:val="24"/>
          <w:szCs w:val="24"/>
        </w:rPr>
        <w:t xml:space="preserve"> consistenti nei grandi contenitori in polietilene in relazione ai quali, a seconda se si tratti di imballaggio o meno, il contributo per il recupero e riciclaggio del connesso rifiuto spetta al </w:t>
      </w:r>
      <w:proofErr w:type="spellStart"/>
      <w:r>
        <w:rPr>
          <w:rFonts w:ascii="Times New Roman" w:hAnsi="Times New Roman" w:cs="Times New Roman"/>
          <w:sz w:val="24"/>
          <w:szCs w:val="24"/>
        </w:rPr>
        <w:t>Conai</w:t>
      </w:r>
      <w:proofErr w:type="spellEnd"/>
      <w:r>
        <w:rPr>
          <w:rFonts w:ascii="Times New Roman" w:hAnsi="Times New Roman" w:cs="Times New Roman"/>
          <w:sz w:val="24"/>
          <w:szCs w:val="24"/>
        </w:rPr>
        <w:t xml:space="preserve"> od al </w:t>
      </w:r>
      <w:proofErr w:type="spellStart"/>
      <w:r>
        <w:rPr>
          <w:rFonts w:ascii="Times New Roman" w:hAnsi="Times New Roman" w:cs="Times New Roman"/>
          <w:sz w:val="24"/>
          <w:szCs w:val="24"/>
        </w:rPr>
        <w:t>PolieCo</w:t>
      </w:r>
      <w:proofErr w:type="spellEnd"/>
      <w:r>
        <w:rPr>
          <w:rFonts w:ascii="Times New Roman" w:hAnsi="Times New Roman" w:cs="Times New Roman"/>
          <w:sz w:val="24"/>
          <w:szCs w:val="24"/>
        </w:rPr>
        <w:t xml:space="preserve">, come previsto nella disciplina introdotta dal </w:t>
      </w:r>
      <w:proofErr w:type="spellStart"/>
      <w:r w:rsidR="00810541">
        <w:rPr>
          <w:rFonts w:ascii="Times New Roman" w:hAnsi="Times New Roman" w:cs="Times New Roman"/>
          <w:sz w:val="24"/>
          <w:szCs w:val="24"/>
        </w:rPr>
        <w:t>D</w:t>
      </w:r>
      <w:r>
        <w:rPr>
          <w:rFonts w:ascii="Times New Roman" w:hAnsi="Times New Roman" w:cs="Times New Roman"/>
          <w:sz w:val="24"/>
          <w:szCs w:val="24"/>
        </w:rPr>
        <w:t>.l.vo</w:t>
      </w:r>
      <w:proofErr w:type="spellEnd"/>
      <w:r>
        <w:rPr>
          <w:rFonts w:ascii="Times New Roman" w:hAnsi="Times New Roman" w:cs="Times New Roman"/>
          <w:sz w:val="24"/>
          <w:szCs w:val="24"/>
        </w:rPr>
        <w:t xml:space="preserve"> 22/1997 (artt. 38, 41 e 48) e dal successivo </w:t>
      </w:r>
      <w:proofErr w:type="spellStart"/>
      <w:r w:rsidR="00810541">
        <w:rPr>
          <w:rFonts w:ascii="Times New Roman" w:hAnsi="Times New Roman" w:cs="Times New Roman"/>
          <w:sz w:val="24"/>
          <w:szCs w:val="24"/>
        </w:rPr>
        <w:t>D</w:t>
      </w:r>
      <w:r>
        <w:rPr>
          <w:rFonts w:ascii="Times New Roman" w:hAnsi="Times New Roman" w:cs="Times New Roman"/>
          <w:sz w:val="24"/>
          <w:szCs w:val="24"/>
        </w:rPr>
        <w:t>.l.vo</w:t>
      </w:r>
      <w:proofErr w:type="spellEnd"/>
      <w:r>
        <w:rPr>
          <w:rFonts w:ascii="Times New Roman" w:hAnsi="Times New Roman" w:cs="Times New Roman"/>
          <w:sz w:val="24"/>
          <w:szCs w:val="24"/>
        </w:rPr>
        <w:t xml:space="preserve"> 152/2006 (artt. 220, 221, 234 che per quanto di interesse non si differenzia in modo significativo dalla precedente normativa).</w:t>
      </w:r>
    </w:p>
    <w:p w:rsidR="00955714" w:rsidRDefault="00955714" w:rsidP="00955714">
      <w:pPr>
        <w:spacing w:after="0" w:line="240" w:lineRule="auto"/>
        <w:jc w:val="both"/>
        <w:rPr>
          <w:rFonts w:ascii="Times New Roman" w:hAnsi="Times New Roman" w:cs="Times New Roman"/>
          <w:sz w:val="24"/>
          <w:szCs w:val="24"/>
        </w:rPr>
      </w:pPr>
    </w:p>
    <w:p w:rsidR="00955714" w:rsidRDefault="00955714" w:rsidP="00955714">
      <w:pPr>
        <w:spacing w:after="0" w:line="240" w:lineRule="auto"/>
        <w:jc w:val="both"/>
        <w:rPr>
          <w:rFonts w:ascii="Times New Roman" w:hAnsi="Times New Roman" w:cs="Times New Roman"/>
          <w:sz w:val="24"/>
          <w:szCs w:val="24"/>
        </w:rPr>
      </w:pPr>
      <w:r>
        <w:rPr>
          <w:rFonts w:ascii="Times New Roman" w:hAnsi="Times New Roman" w:cs="Times New Roman"/>
          <w:sz w:val="24"/>
          <w:szCs w:val="24"/>
        </w:rPr>
        <w:t>[</w:t>
      </w:r>
      <w:proofErr w:type="gramStart"/>
      <w:r>
        <w:rPr>
          <w:rFonts w:ascii="Times New Roman" w:hAnsi="Times New Roman" w:cs="Times New Roman"/>
          <w:sz w:val="24"/>
          <w:szCs w:val="24"/>
        </w:rPr>
        <w:t>omissis</w:t>
      </w:r>
      <w:proofErr w:type="gramEnd"/>
      <w:r>
        <w:rPr>
          <w:rFonts w:ascii="Times New Roman" w:hAnsi="Times New Roman" w:cs="Times New Roman"/>
          <w:sz w:val="24"/>
          <w:szCs w:val="24"/>
        </w:rPr>
        <w:t>]</w:t>
      </w:r>
    </w:p>
    <w:p w:rsidR="00CC1B5F" w:rsidRDefault="00CC1B5F" w:rsidP="00955714">
      <w:pPr>
        <w:spacing w:after="0" w:line="240" w:lineRule="auto"/>
        <w:jc w:val="both"/>
        <w:rPr>
          <w:rFonts w:ascii="Times New Roman" w:hAnsi="Times New Roman" w:cs="Times New Roman"/>
          <w:sz w:val="24"/>
          <w:szCs w:val="24"/>
        </w:rPr>
      </w:pPr>
    </w:p>
    <w:p w:rsidR="00955714" w:rsidRDefault="00955714" w:rsidP="00955714">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L’art. 218 del </w:t>
      </w:r>
      <w:proofErr w:type="spellStart"/>
      <w:r w:rsidR="00810541">
        <w:rPr>
          <w:rFonts w:ascii="Times New Roman" w:hAnsi="Times New Roman" w:cs="Times New Roman"/>
          <w:sz w:val="24"/>
          <w:szCs w:val="24"/>
        </w:rPr>
        <w:t>D</w:t>
      </w:r>
      <w:r>
        <w:rPr>
          <w:rFonts w:ascii="Times New Roman" w:hAnsi="Times New Roman" w:cs="Times New Roman"/>
          <w:sz w:val="24"/>
          <w:szCs w:val="24"/>
        </w:rPr>
        <w:t>.</w:t>
      </w:r>
      <w:r w:rsidR="00810541">
        <w:rPr>
          <w:rFonts w:ascii="Times New Roman" w:hAnsi="Times New Roman" w:cs="Times New Roman"/>
          <w:sz w:val="24"/>
          <w:szCs w:val="24"/>
        </w:rPr>
        <w:t>L</w:t>
      </w:r>
      <w:r>
        <w:rPr>
          <w:rFonts w:ascii="Times New Roman" w:hAnsi="Times New Roman" w:cs="Times New Roman"/>
          <w:sz w:val="24"/>
          <w:szCs w:val="24"/>
        </w:rPr>
        <w:t>.vo</w:t>
      </w:r>
      <w:proofErr w:type="spellEnd"/>
      <w:r>
        <w:rPr>
          <w:rFonts w:ascii="Times New Roman" w:hAnsi="Times New Roman" w:cs="Times New Roman"/>
          <w:sz w:val="24"/>
          <w:szCs w:val="24"/>
        </w:rPr>
        <w:t xml:space="preserve"> 152/2006 ripete la precedente definizione di imballaggio [di cui all’art. 35 </w:t>
      </w:r>
      <w:proofErr w:type="spellStart"/>
      <w:r w:rsidR="00810541">
        <w:rPr>
          <w:rFonts w:ascii="Times New Roman" w:hAnsi="Times New Roman" w:cs="Times New Roman"/>
          <w:sz w:val="24"/>
          <w:szCs w:val="24"/>
        </w:rPr>
        <w:t>D.L.vo</w:t>
      </w:r>
      <w:proofErr w:type="spellEnd"/>
      <w:r w:rsidR="00810541">
        <w:rPr>
          <w:rFonts w:ascii="Times New Roman" w:hAnsi="Times New Roman" w:cs="Times New Roman"/>
          <w:sz w:val="24"/>
          <w:szCs w:val="24"/>
        </w:rPr>
        <w:t xml:space="preserve"> 22/1997</w:t>
      </w:r>
      <w:r>
        <w:rPr>
          <w:rFonts w:ascii="Times New Roman" w:hAnsi="Times New Roman" w:cs="Times New Roman"/>
          <w:sz w:val="24"/>
          <w:szCs w:val="24"/>
        </w:rPr>
        <w:t xml:space="preserve">] richiamando le modifiche apportate dalla </w:t>
      </w:r>
      <w:r w:rsidR="00810541">
        <w:rPr>
          <w:rFonts w:ascii="Times New Roman" w:hAnsi="Times New Roman" w:cs="Times New Roman"/>
          <w:sz w:val="24"/>
          <w:szCs w:val="24"/>
        </w:rPr>
        <w:t>D</w:t>
      </w:r>
      <w:r>
        <w:rPr>
          <w:rFonts w:ascii="Times New Roman" w:hAnsi="Times New Roman" w:cs="Times New Roman"/>
          <w:sz w:val="24"/>
          <w:szCs w:val="24"/>
        </w:rPr>
        <w:t>irettiva 12/2004 ed aggiungere la seguente definizione: “imballaggio riutilizzabile: imballaggio o componente di imballaggio che è stato concepito e progettato per sopportare nel corso del suo ciclo di vita un numero minimo di viaggi o rotazioni all’interno di un circuito di riutilizzo”.</w:t>
      </w:r>
    </w:p>
    <w:p w:rsidR="00955714" w:rsidRDefault="00955714" w:rsidP="00955714">
      <w:pPr>
        <w:spacing w:after="0" w:line="240" w:lineRule="auto"/>
        <w:jc w:val="both"/>
        <w:rPr>
          <w:rFonts w:ascii="Times New Roman" w:hAnsi="Times New Roman" w:cs="Times New Roman"/>
          <w:sz w:val="24"/>
          <w:szCs w:val="24"/>
        </w:rPr>
      </w:pPr>
    </w:p>
    <w:p w:rsidR="00955714" w:rsidRDefault="00955714" w:rsidP="00955714">
      <w:pPr>
        <w:spacing w:after="0" w:line="240" w:lineRule="auto"/>
        <w:jc w:val="both"/>
        <w:rPr>
          <w:rFonts w:ascii="Times New Roman" w:hAnsi="Times New Roman" w:cs="Times New Roman"/>
          <w:sz w:val="24"/>
          <w:szCs w:val="24"/>
        </w:rPr>
      </w:pPr>
      <w:r>
        <w:rPr>
          <w:rFonts w:ascii="Times New Roman" w:hAnsi="Times New Roman" w:cs="Times New Roman"/>
          <w:sz w:val="24"/>
          <w:szCs w:val="24"/>
        </w:rPr>
        <w:t>[</w:t>
      </w:r>
      <w:proofErr w:type="gramStart"/>
      <w:r>
        <w:rPr>
          <w:rFonts w:ascii="Times New Roman" w:hAnsi="Times New Roman" w:cs="Times New Roman"/>
          <w:sz w:val="24"/>
          <w:szCs w:val="24"/>
        </w:rPr>
        <w:t>omissis</w:t>
      </w:r>
      <w:proofErr w:type="gramEnd"/>
      <w:r>
        <w:rPr>
          <w:rFonts w:ascii="Times New Roman" w:hAnsi="Times New Roman" w:cs="Times New Roman"/>
          <w:sz w:val="24"/>
          <w:szCs w:val="24"/>
        </w:rPr>
        <w:t>]</w:t>
      </w:r>
    </w:p>
    <w:p w:rsidR="00CC1B5F" w:rsidRDefault="00CC1B5F" w:rsidP="00955714">
      <w:pPr>
        <w:spacing w:after="0" w:line="240" w:lineRule="auto"/>
        <w:jc w:val="both"/>
        <w:rPr>
          <w:rFonts w:ascii="Times New Roman" w:hAnsi="Times New Roman" w:cs="Times New Roman"/>
          <w:sz w:val="24"/>
          <w:szCs w:val="24"/>
        </w:rPr>
      </w:pPr>
    </w:p>
    <w:p w:rsidR="00955714" w:rsidRDefault="00955714" w:rsidP="00955714">
      <w:pPr>
        <w:spacing w:after="0" w:line="240" w:lineRule="auto"/>
        <w:jc w:val="both"/>
        <w:rPr>
          <w:rFonts w:ascii="Times New Roman" w:hAnsi="Times New Roman" w:cs="Times New Roman"/>
          <w:sz w:val="24"/>
          <w:szCs w:val="24"/>
        </w:rPr>
      </w:pPr>
      <w:r>
        <w:rPr>
          <w:rFonts w:ascii="Times New Roman" w:hAnsi="Times New Roman" w:cs="Times New Roman"/>
          <w:sz w:val="24"/>
          <w:szCs w:val="24"/>
        </w:rPr>
        <w:t>Si ritiene, sul punto, che sulla scia di quanto indicato nella direttiva europea del 2004, ove si precisa che “sono considerati imballaggi gli articoli che rientrano nella definizione di cui sopra, fatte salve altre possibili funzioni dell’imballaggio” e che, quindi, può essere imballaggio anche un prodotto che ha funzione prevalente di imballaggio accanto ad altre funzioni accessorie, la normativa italiana indica come non sia incompatibile con la nozione di imballaggio una limitata possibilità di riutilizzazione dello stesso “all’interno di un circuito di riutilizzo” e cioè consegna “dal produttore al consumatore o all’utilizzatore, e ad assicurare la loro presentazione”.</w:t>
      </w:r>
    </w:p>
    <w:p w:rsidR="00955714" w:rsidRDefault="00955714" w:rsidP="00955714">
      <w:pPr>
        <w:spacing w:after="0" w:line="240" w:lineRule="auto"/>
        <w:jc w:val="both"/>
        <w:rPr>
          <w:rFonts w:ascii="Times New Roman" w:hAnsi="Times New Roman" w:cs="Times New Roman"/>
          <w:sz w:val="24"/>
          <w:szCs w:val="24"/>
        </w:rPr>
      </w:pPr>
      <w:r>
        <w:rPr>
          <w:rFonts w:ascii="Times New Roman" w:hAnsi="Times New Roman" w:cs="Times New Roman"/>
          <w:sz w:val="24"/>
          <w:szCs w:val="24"/>
        </w:rPr>
        <w:t>Alla luce di detta normativa va osservato, innanzitutto, che caratteristica dell’imballaggio non è semplicemente quella di essere adibito a contenere e a proteggere determinate merci, caratteristica propria di tutti i contenitori.</w:t>
      </w:r>
    </w:p>
    <w:p w:rsidR="00955714" w:rsidRDefault="00955714" w:rsidP="00955714">
      <w:pPr>
        <w:spacing w:after="0" w:line="240" w:lineRule="auto"/>
        <w:jc w:val="both"/>
        <w:rPr>
          <w:rFonts w:ascii="Times New Roman" w:hAnsi="Times New Roman" w:cs="Times New Roman"/>
          <w:sz w:val="24"/>
          <w:szCs w:val="24"/>
        </w:rPr>
      </w:pPr>
      <w:r>
        <w:rPr>
          <w:rFonts w:ascii="Times New Roman" w:hAnsi="Times New Roman" w:cs="Times New Roman"/>
          <w:sz w:val="24"/>
          <w:szCs w:val="24"/>
        </w:rPr>
        <w:t>Detta qualità (contenitiva e di protezione) contribuisce a definire un prodotto come imballaggio solo nella misura in cui la sua funzione prevalente sia quella diretta a consentire la manipolazione e consegna delle merci (che siano materia prima  o prodotto finito) dal produttore della merce (come chiarito dalla sentenza della Corte di Giustizia allegata dalla parte attrice in ordine alla causa 341/01, avente ad oggetto sacchetti di plastica forniti direttamente ai venditori al dettaglio ed ai negozianti) al consumatore o all’utilizzatore, e ad assicurare la loro presentazione per la vendita.</w:t>
      </w:r>
    </w:p>
    <w:p w:rsidR="00955714" w:rsidRDefault="00955714" w:rsidP="00955714">
      <w:pPr>
        <w:spacing w:after="0" w:line="240" w:lineRule="auto"/>
        <w:jc w:val="both"/>
        <w:rPr>
          <w:rFonts w:ascii="Times New Roman" w:hAnsi="Times New Roman" w:cs="Times New Roman"/>
          <w:sz w:val="24"/>
          <w:szCs w:val="24"/>
        </w:rPr>
      </w:pPr>
      <w:r>
        <w:rPr>
          <w:rFonts w:ascii="Times New Roman" w:hAnsi="Times New Roman" w:cs="Times New Roman"/>
          <w:sz w:val="24"/>
          <w:szCs w:val="24"/>
        </w:rPr>
        <w:t>La successiva descrizione dell’imballaggio primario, secondario e terziario consiste in una specificazione di detta funzione, la cui necessaria presenza, ai fini di definire un prodotto come imballaggio emerge anche dal rilievo che di essa si fa nelle ulteriori indicazioni aggiunte dalla direttiva del 2004.</w:t>
      </w:r>
    </w:p>
    <w:p w:rsidR="00955714" w:rsidRDefault="00955714" w:rsidP="00955714">
      <w:pPr>
        <w:spacing w:after="0" w:line="240" w:lineRule="auto"/>
        <w:jc w:val="both"/>
        <w:rPr>
          <w:rFonts w:ascii="Times New Roman" w:hAnsi="Times New Roman" w:cs="Times New Roman"/>
          <w:sz w:val="24"/>
          <w:szCs w:val="24"/>
        </w:rPr>
      </w:pPr>
      <w:r>
        <w:rPr>
          <w:rFonts w:ascii="Times New Roman" w:hAnsi="Times New Roman" w:cs="Times New Roman"/>
          <w:sz w:val="24"/>
          <w:szCs w:val="24"/>
        </w:rPr>
        <w:t>Per quanto detto non ogni contenitore deve definirsi imballaggio, ma solo quello destinato al predetto circuito – dal produttore al consumatore e passaggi intermedi.</w:t>
      </w:r>
    </w:p>
    <w:p w:rsidR="00955714" w:rsidRDefault="00955714" w:rsidP="00955714">
      <w:pPr>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Dalla perizia espletata, pienamente condivisibile per logicità e coerenza ed a cui integralmente ci si riporta, emerge che i grandi contenitori in argomento per le loro caratteristiche – alta resistenza meccanica, relativa stabilità al calore, buona tolleranza agli eventi atmosferici, condizioni igieniche sicure, resistenza alle basse temperature – sono stati progettati e fabbricati per resistere e durare al lungo.</w:t>
      </w:r>
    </w:p>
    <w:p w:rsidR="00955714" w:rsidRDefault="00955714" w:rsidP="00955714">
      <w:pPr>
        <w:spacing w:after="0" w:line="240" w:lineRule="auto"/>
        <w:jc w:val="both"/>
        <w:rPr>
          <w:rFonts w:ascii="Times New Roman" w:hAnsi="Times New Roman" w:cs="Times New Roman"/>
          <w:sz w:val="24"/>
          <w:szCs w:val="24"/>
        </w:rPr>
      </w:pPr>
      <w:r>
        <w:rPr>
          <w:rFonts w:ascii="Times New Roman" w:hAnsi="Times New Roman" w:cs="Times New Roman"/>
          <w:sz w:val="24"/>
          <w:szCs w:val="24"/>
        </w:rPr>
        <w:t>Si evince, quindi, dall’elaborato peritale che detti prodotti non sono assimilabili a contenitori prodotti per l’utilizzo singolo o limitato nel tempo, ma destinati ad un utilizzo prolungato e durevole nel tempo per contenere materiali di varia natura e che, pertanto, hanno caratteristiche costruttive che non sono compatibili con l’utilizzo di detti prodotti come mero imballaggio.</w:t>
      </w:r>
    </w:p>
    <w:p w:rsidR="00955714" w:rsidRDefault="00955714" w:rsidP="00955714">
      <w:pPr>
        <w:spacing w:after="0" w:line="240" w:lineRule="auto"/>
        <w:jc w:val="both"/>
        <w:rPr>
          <w:rFonts w:ascii="Times New Roman" w:hAnsi="Times New Roman" w:cs="Times New Roman"/>
          <w:sz w:val="24"/>
          <w:szCs w:val="24"/>
        </w:rPr>
      </w:pPr>
      <w:r>
        <w:rPr>
          <w:rFonts w:ascii="Times New Roman" w:hAnsi="Times New Roman" w:cs="Times New Roman"/>
          <w:sz w:val="24"/>
          <w:szCs w:val="24"/>
        </w:rPr>
        <w:t>Va osservato, quindi, come dall’analisi della struttura di detto prodotto lo stesso è destinato come ausilio duraturo all’attività dell’impresa all’interno del ciclo produttivo della medesima e non al fine di garantire un idoneo trasporto della merce nel circuito produttore/utilizzatore/consumatore (e passaggi intermedi).</w:t>
      </w:r>
    </w:p>
    <w:p w:rsidR="00955714" w:rsidRDefault="00955714" w:rsidP="00955714">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Per quanto detto, considerato che i contenitori in oggetto non costituiscono imballaggi e che la società </w:t>
      </w:r>
      <w:proofErr w:type="spellStart"/>
      <w:r>
        <w:rPr>
          <w:rFonts w:ascii="Times New Roman" w:hAnsi="Times New Roman" w:cs="Times New Roman"/>
          <w:sz w:val="24"/>
          <w:szCs w:val="24"/>
        </w:rPr>
        <w:t>Capp</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Plast</w:t>
      </w:r>
      <w:proofErr w:type="spellEnd"/>
      <w:r>
        <w:rPr>
          <w:rFonts w:ascii="Times New Roman" w:hAnsi="Times New Roman" w:cs="Times New Roman"/>
          <w:sz w:val="24"/>
          <w:szCs w:val="24"/>
        </w:rPr>
        <w:t xml:space="preserve"> ha correttamente pagato i relativi contributi per il recupero ed il riciclaggio dei rifiuti al Consorzio </w:t>
      </w:r>
      <w:proofErr w:type="spellStart"/>
      <w:r>
        <w:rPr>
          <w:rFonts w:ascii="Times New Roman" w:hAnsi="Times New Roman" w:cs="Times New Roman"/>
          <w:sz w:val="24"/>
          <w:szCs w:val="24"/>
        </w:rPr>
        <w:t>PolieCo</w:t>
      </w:r>
      <w:proofErr w:type="spellEnd"/>
      <w:r>
        <w:rPr>
          <w:rFonts w:ascii="Times New Roman" w:hAnsi="Times New Roman" w:cs="Times New Roman"/>
          <w:sz w:val="24"/>
          <w:szCs w:val="24"/>
        </w:rPr>
        <w:t>, vanno rigettate le domande attoree e quelle avanzate in adesione dal consorzio Corepla, ritenendo assorbita la questione della prescrizione e le domande oggetto della chiamata di terzo.</w:t>
      </w:r>
    </w:p>
    <w:p w:rsidR="00955714" w:rsidRDefault="00955714" w:rsidP="00955714">
      <w:pPr>
        <w:spacing w:after="0" w:line="240" w:lineRule="auto"/>
        <w:jc w:val="both"/>
        <w:rPr>
          <w:rFonts w:ascii="Times New Roman" w:hAnsi="Times New Roman" w:cs="Times New Roman"/>
          <w:sz w:val="24"/>
          <w:szCs w:val="24"/>
        </w:rPr>
      </w:pPr>
    </w:p>
    <w:p w:rsidR="00955714" w:rsidRPr="00FC352F" w:rsidRDefault="00955714" w:rsidP="00FC352F">
      <w:pPr>
        <w:spacing w:after="0" w:line="240" w:lineRule="auto"/>
        <w:jc w:val="both"/>
        <w:rPr>
          <w:rFonts w:ascii="Times New Roman" w:hAnsi="Times New Roman" w:cs="Times New Roman"/>
          <w:sz w:val="24"/>
          <w:szCs w:val="24"/>
        </w:rPr>
      </w:pPr>
      <w:r>
        <w:rPr>
          <w:rFonts w:ascii="Times New Roman" w:hAnsi="Times New Roman" w:cs="Times New Roman"/>
          <w:sz w:val="24"/>
          <w:szCs w:val="24"/>
        </w:rPr>
        <w:t>[</w:t>
      </w:r>
      <w:proofErr w:type="gramStart"/>
      <w:r>
        <w:rPr>
          <w:rFonts w:ascii="Times New Roman" w:hAnsi="Times New Roman" w:cs="Times New Roman"/>
          <w:sz w:val="24"/>
          <w:szCs w:val="24"/>
        </w:rPr>
        <w:t>omissis</w:t>
      </w:r>
      <w:proofErr w:type="gramEnd"/>
      <w:r>
        <w:rPr>
          <w:rFonts w:ascii="Times New Roman" w:hAnsi="Times New Roman" w:cs="Times New Roman"/>
          <w:sz w:val="24"/>
          <w:szCs w:val="24"/>
        </w:rPr>
        <w:t>]</w:t>
      </w:r>
      <w:bookmarkStart w:id="0" w:name="_GoBack"/>
      <w:bookmarkEnd w:id="0"/>
    </w:p>
    <w:sectPr w:rsidR="00955714" w:rsidRPr="00FC352F">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D111F"/>
    <w:rsid w:val="00130603"/>
    <w:rsid w:val="001A7ADA"/>
    <w:rsid w:val="001D111F"/>
    <w:rsid w:val="002B4EBB"/>
    <w:rsid w:val="002D3846"/>
    <w:rsid w:val="0038666C"/>
    <w:rsid w:val="00563EA4"/>
    <w:rsid w:val="0056637D"/>
    <w:rsid w:val="005A6D92"/>
    <w:rsid w:val="005E169B"/>
    <w:rsid w:val="00692772"/>
    <w:rsid w:val="006E3C2D"/>
    <w:rsid w:val="00783A03"/>
    <w:rsid w:val="00810541"/>
    <w:rsid w:val="00950728"/>
    <w:rsid w:val="00955714"/>
    <w:rsid w:val="00C713B7"/>
    <w:rsid w:val="00CC1B5F"/>
    <w:rsid w:val="00DB58F8"/>
    <w:rsid w:val="00DC3337"/>
    <w:rsid w:val="00EA3375"/>
    <w:rsid w:val="00F7498B"/>
    <w:rsid w:val="00FC352F"/>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7FF253C-2DA7-4F8F-897B-5364BFADBF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Testofumetto">
    <w:name w:val="Balloon Text"/>
    <w:basedOn w:val="Normale"/>
    <w:link w:val="TestofumettoCarattere"/>
    <w:uiPriority w:val="99"/>
    <w:semiHidden/>
    <w:unhideWhenUsed/>
    <w:rsid w:val="005E169B"/>
    <w:pPr>
      <w:spacing w:after="0" w:line="240" w:lineRule="auto"/>
    </w:pPr>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5E169B"/>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66</TotalTime>
  <Pages>3</Pages>
  <Words>1286</Words>
  <Characters>7335</Characters>
  <Application>Microsoft Office Word</Application>
  <DocSecurity>0</DocSecurity>
  <Lines>61</Lines>
  <Paragraphs>17</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8604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Giulia</dc:creator>
  <cp:keywords/>
  <dc:description/>
  <cp:lastModifiedBy>Giulia</cp:lastModifiedBy>
  <cp:revision>23</cp:revision>
  <cp:lastPrinted>2014-04-17T14:31:00Z</cp:lastPrinted>
  <dcterms:created xsi:type="dcterms:W3CDTF">2014-04-17T08:25:00Z</dcterms:created>
  <dcterms:modified xsi:type="dcterms:W3CDTF">2014-04-17T15:05:00Z</dcterms:modified>
</cp:coreProperties>
</file>